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ED9E" w14:textId="77777777" w:rsidR="00C15D15" w:rsidRDefault="00C15D15" w:rsidP="006E54B8">
      <w:pPr>
        <w:spacing w:before="168" w:after="0" w:line="240" w:lineRule="auto"/>
        <w:outlineLvl w:val="0"/>
        <w:rPr>
          <w:rFonts w:eastAsia="Prelo Book"/>
          <w:color w:val="009CDE"/>
          <w:spacing w:val="5"/>
          <w:sz w:val="40"/>
          <w:szCs w:val="40"/>
        </w:rPr>
      </w:pPr>
      <w:bookmarkStart w:id="0" w:name="_GoBack"/>
      <w:bookmarkEnd w:id="0"/>
    </w:p>
    <w:p w14:paraId="3BAAAB1A" w14:textId="77777777" w:rsidR="006E54B8" w:rsidRPr="007813EC" w:rsidRDefault="006C34B6" w:rsidP="006E54B8">
      <w:pPr>
        <w:spacing w:before="168" w:after="0" w:line="240" w:lineRule="auto"/>
        <w:outlineLvl w:val="0"/>
        <w:rPr>
          <w:rFonts w:eastAsia="Prelo Book"/>
          <w:color w:val="009CDE"/>
          <w:spacing w:val="5"/>
          <w:sz w:val="40"/>
          <w:szCs w:val="40"/>
        </w:rPr>
      </w:pPr>
      <w:bookmarkStart w:id="1" w:name="_Toc497934248"/>
      <w:r>
        <w:rPr>
          <w:rFonts w:eastAsia="Prelo Book"/>
          <w:color w:val="009CDE"/>
          <w:spacing w:val="5"/>
          <w:sz w:val="40"/>
          <w:szCs w:val="40"/>
        </w:rPr>
        <w:t>Essex County Council</w:t>
      </w:r>
      <w:bookmarkEnd w:id="1"/>
      <w:r>
        <w:rPr>
          <w:rFonts w:eastAsia="Prelo Book"/>
          <w:color w:val="009CDE"/>
          <w:spacing w:val="5"/>
          <w:sz w:val="40"/>
          <w:szCs w:val="40"/>
        </w:rPr>
        <w:t xml:space="preserve"> </w:t>
      </w:r>
    </w:p>
    <w:p w14:paraId="1D72E315" w14:textId="7606CAE5" w:rsidR="006E54B8" w:rsidRDefault="006C34B6" w:rsidP="006E54B8">
      <w:pPr>
        <w:spacing w:before="93" w:after="0" w:line="240" w:lineRule="auto"/>
        <w:outlineLvl w:val="1"/>
        <w:rPr>
          <w:rFonts w:eastAsia="Prelo Book"/>
          <w:color w:val="63666A"/>
          <w:spacing w:val="-3"/>
          <w:sz w:val="28"/>
          <w:szCs w:val="28"/>
        </w:rPr>
      </w:pPr>
      <w:bookmarkStart w:id="2" w:name="_Toc497934249"/>
      <w:r w:rsidRPr="006C34B6">
        <w:rPr>
          <w:rFonts w:eastAsia="Prelo Book"/>
          <w:color w:val="63666A"/>
          <w:spacing w:val="-3"/>
          <w:sz w:val="28"/>
          <w:szCs w:val="28"/>
        </w:rPr>
        <w:t xml:space="preserve">Evaluation of </w:t>
      </w:r>
      <w:r w:rsidR="00071448" w:rsidRPr="00071448">
        <w:rPr>
          <w:rFonts w:eastAsia="Prelo Book"/>
          <w:color w:val="63666A"/>
          <w:spacing w:val="-3"/>
          <w:sz w:val="28"/>
          <w:szCs w:val="28"/>
        </w:rPr>
        <w:t>Social Prescribing Models across Esse</w:t>
      </w:r>
      <w:bookmarkEnd w:id="2"/>
      <w:r w:rsidR="003B2DD0">
        <w:rPr>
          <w:rFonts w:eastAsia="Prelo Book"/>
          <w:color w:val="63666A"/>
          <w:spacing w:val="-3"/>
          <w:sz w:val="28"/>
          <w:szCs w:val="28"/>
        </w:rPr>
        <w:t>x</w:t>
      </w:r>
    </w:p>
    <w:p w14:paraId="5B7E5FEA" w14:textId="77777777" w:rsidR="00B45AD3" w:rsidRDefault="00B45AD3" w:rsidP="00423075">
      <w:pPr>
        <w:pStyle w:val="BodyText-italics"/>
        <w:rPr>
          <w:rFonts w:eastAsia="Prelo Book"/>
        </w:rPr>
      </w:pPr>
    </w:p>
    <w:p w14:paraId="1A327232" w14:textId="4DA673D8" w:rsidR="006E54B8" w:rsidRDefault="0087383B" w:rsidP="006E54B8">
      <w:pPr>
        <w:spacing w:before="93" w:after="0" w:line="240" w:lineRule="auto"/>
        <w:outlineLvl w:val="1"/>
        <w:rPr>
          <w:rFonts w:eastAsia="Prelo Book"/>
          <w:color w:val="63666A"/>
          <w:spacing w:val="-3"/>
          <w:sz w:val="28"/>
          <w:szCs w:val="28"/>
        </w:rPr>
      </w:pPr>
      <w:bookmarkStart w:id="3" w:name="_Toc474495100"/>
      <w:bookmarkStart w:id="4" w:name="_Toc474495568"/>
      <w:bookmarkStart w:id="5" w:name="_Toc475537261"/>
      <w:bookmarkStart w:id="6" w:name="_Toc475537366"/>
      <w:bookmarkStart w:id="7" w:name="_Toc497934250"/>
      <w:r>
        <w:rPr>
          <w:rFonts w:eastAsia="Prelo Book"/>
          <w:color w:val="63666A"/>
          <w:spacing w:val="-3"/>
          <w:sz w:val="28"/>
          <w:szCs w:val="28"/>
        </w:rPr>
        <w:t xml:space="preserve">Final </w:t>
      </w:r>
      <w:r w:rsidR="006C34B6">
        <w:rPr>
          <w:rFonts w:eastAsia="Prelo Book"/>
          <w:color w:val="63666A"/>
          <w:spacing w:val="-3"/>
          <w:sz w:val="28"/>
          <w:szCs w:val="28"/>
        </w:rPr>
        <w:t>Report</w:t>
      </w:r>
      <w:bookmarkEnd w:id="3"/>
      <w:bookmarkEnd w:id="4"/>
      <w:r w:rsidR="00071448">
        <w:rPr>
          <w:rFonts w:eastAsia="Prelo Book"/>
          <w:color w:val="63666A"/>
          <w:spacing w:val="-3"/>
          <w:sz w:val="28"/>
          <w:szCs w:val="28"/>
        </w:rPr>
        <w:t xml:space="preserve"> </w:t>
      </w:r>
      <w:r w:rsidR="00BD70F6">
        <w:rPr>
          <w:rFonts w:eastAsia="Prelo Book"/>
          <w:color w:val="63666A"/>
          <w:spacing w:val="-3"/>
          <w:sz w:val="28"/>
          <w:szCs w:val="28"/>
        </w:rPr>
        <w:t>–</w:t>
      </w:r>
      <w:r w:rsidR="00071448">
        <w:rPr>
          <w:rFonts w:eastAsia="Prelo Book"/>
          <w:color w:val="63666A"/>
          <w:spacing w:val="-3"/>
          <w:sz w:val="28"/>
          <w:szCs w:val="28"/>
        </w:rPr>
        <w:t xml:space="preserve"> </w:t>
      </w:r>
      <w:r w:rsidR="00DA596A">
        <w:rPr>
          <w:rFonts w:eastAsia="Prelo Book"/>
          <w:color w:val="63666A"/>
          <w:spacing w:val="-3"/>
          <w:sz w:val="28"/>
          <w:szCs w:val="28"/>
        </w:rPr>
        <w:t>September</w:t>
      </w:r>
      <w:r w:rsidR="00B45AD3">
        <w:rPr>
          <w:rFonts w:eastAsia="Prelo Book"/>
          <w:color w:val="63666A"/>
          <w:spacing w:val="-3"/>
          <w:sz w:val="28"/>
          <w:szCs w:val="28"/>
        </w:rPr>
        <w:t xml:space="preserve"> </w:t>
      </w:r>
      <w:r w:rsidR="006E54B8">
        <w:rPr>
          <w:rFonts w:eastAsia="Prelo Book"/>
          <w:color w:val="63666A"/>
          <w:spacing w:val="-3"/>
          <w:sz w:val="28"/>
          <w:szCs w:val="28"/>
        </w:rPr>
        <w:t>201</w:t>
      </w:r>
      <w:bookmarkEnd w:id="5"/>
      <w:bookmarkEnd w:id="6"/>
      <w:r w:rsidR="005A796B">
        <w:rPr>
          <w:rFonts w:eastAsia="Prelo Book"/>
          <w:color w:val="63666A"/>
          <w:spacing w:val="-3"/>
          <w:sz w:val="28"/>
          <w:szCs w:val="28"/>
        </w:rPr>
        <w:t>7</w:t>
      </w:r>
      <w:bookmarkEnd w:id="7"/>
    </w:p>
    <w:p w14:paraId="2FD0E69E" w14:textId="77777777" w:rsidR="00F52A0F" w:rsidRDefault="00F52A0F" w:rsidP="00AE785D">
      <w:pPr>
        <w:pStyle w:val="BodyText-parastyle"/>
        <w:rPr>
          <w:rFonts w:eastAsia="Prelo Book"/>
        </w:rPr>
      </w:pPr>
    </w:p>
    <w:p w14:paraId="06047CE5" w14:textId="2ED4ABD5" w:rsidR="00F52A0F" w:rsidRDefault="00F52A0F" w:rsidP="00AE785D">
      <w:pPr>
        <w:pStyle w:val="BodyText-parastyle"/>
        <w:rPr>
          <w:rFonts w:eastAsia="Prelo Book"/>
        </w:rPr>
      </w:pPr>
      <w:r>
        <w:rPr>
          <w:rFonts w:eastAsia="Prelo Book"/>
        </w:rPr>
        <w:t xml:space="preserve">In association with Chris Dayson </w:t>
      </w:r>
    </w:p>
    <w:p w14:paraId="1C53A801" w14:textId="77777777" w:rsidR="006C34B6" w:rsidRPr="007813EC" w:rsidRDefault="006C34B6" w:rsidP="00AE785D">
      <w:pPr>
        <w:pStyle w:val="BodyText-parastyle"/>
        <w:rPr>
          <w:rFonts w:eastAsia="Prelo Book"/>
        </w:rPr>
      </w:pPr>
    </w:p>
    <w:p w14:paraId="5060FEE9" w14:textId="77777777" w:rsidR="00393AAD" w:rsidRPr="0093636E" w:rsidRDefault="0093636E" w:rsidP="00F52A0F">
      <w:pPr>
        <w:pStyle w:val="BodyText-italics"/>
        <w:sectPr w:rsidR="00393AAD" w:rsidRPr="0093636E" w:rsidSect="0093636E">
          <w:headerReference w:type="default" r:id="rId9"/>
          <w:footerReference w:type="default" r:id="rId10"/>
          <w:type w:val="continuous"/>
          <w:pgSz w:w="11910" w:h="16840"/>
          <w:pgMar w:top="680" w:right="853" w:bottom="280" w:left="1276" w:header="0" w:footer="720" w:gutter="0"/>
          <w:cols w:space="720"/>
        </w:sectPr>
      </w:pPr>
      <w:r>
        <w:tab/>
      </w:r>
    </w:p>
    <w:p w14:paraId="3420149A" w14:textId="77777777" w:rsidR="00C12727" w:rsidRDefault="00C12727" w:rsidP="00C12727"/>
    <w:sdt>
      <w:sdtPr>
        <w:rPr>
          <w:rFonts w:ascii="Arial" w:eastAsiaTheme="minorHAnsi" w:hAnsi="Arial" w:cs="Arial"/>
          <w:b w:val="0"/>
          <w:caps w:val="0"/>
          <w:color w:val="auto"/>
          <w:sz w:val="20"/>
          <w:szCs w:val="20"/>
        </w:rPr>
        <w:id w:val="2037304899"/>
        <w:docPartObj>
          <w:docPartGallery w:val="Table of Contents"/>
          <w:docPartUnique/>
        </w:docPartObj>
      </w:sdtPr>
      <w:sdtEndPr>
        <w:rPr>
          <w:rFonts w:eastAsia="Calibri"/>
          <w:bCs/>
          <w:noProof/>
        </w:rPr>
      </w:sdtEndPr>
      <w:sdtContent>
        <w:p w14:paraId="4DC31742" w14:textId="77777777" w:rsidR="000F5D2B" w:rsidRPr="00481F33" w:rsidRDefault="000F5D2B" w:rsidP="001A0559">
          <w:pPr>
            <w:pStyle w:val="TOCHeading"/>
            <w:rPr>
              <w:color w:val="009CDE"/>
            </w:rPr>
          </w:pPr>
          <w:r w:rsidRPr="00481F33">
            <w:rPr>
              <w:color w:val="009CDE"/>
            </w:rPr>
            <w:t>Table of Contents</w:t>
          </w:r>
        </w:p>
        <w:p w14:paraId="50602B79" w14:textId="77777777" w:rsidR="000F5D2B" w:rsidRPr="000F5D2B" w:rsidRDefault="000F5D2B" w:rsidP="000F5D2B"/>
        <w:p w14:paraId="0BC1DD15" w14:textId="5C49C777" w:rsidR="002771E9" w:rsidRDefault="008D7030">
          <w:pPr>
            <w:pStyle w:val="TOC1"/>
            <w:tabs>
              <w:tab w:val="right" w:leader="dot" w:pos="9627"/>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"1-2" \h \z \u </w:instrText>
          </w:r>
          <w:r>
            <w:fldChar w:fldCharType="separate"/>
          </w:r>
          <w:hyperlink w:anchor="_Toc497934248" w:history="1">
            <w:r w:rsidR="002771E9" w:rsidRPr="009B22A1">
              <w:rPr>
                <w:rStyle w:val="Hyperlink"/>
                <w:rFonts w:eastAsia="Prelo Book"/>
                <w:noProof/>
                <w:spacing w:val="5"/>
              </w:rPr>
              <w:t>Essex County Council</w:t>
            </w:r>
            <w:r w:rsidR="002771E9">
              <w:rPr>
                <w:noProof/>
                <w:webHidden/>
              </w:rPr>
              <w:tab/>
            </w:r>
            <w:r w:rsidR="002771E9">
              <w:rPr>
                <w:noProof/>
                <w:webHidden/>
              </w:rPr>
              <w:fldChar w:fldCharType="begin"/>
            </w:r>
            <w:r w:rsidR="002771E9">
              <w:rPr>
                <w:noProof/>
                <w:webHidden/>
              </w:rPr>
              <w:instrText xml:space="preserve"> PAGEREF _Toc497934248 \h </w:instrText>
            </w:r>
            <w:r w:rsidR="002771E9">
              <w:rPr>
                <w:noProof/>
                <w:webHidden/>
              </w:rPr>
            </w:r>
            <w:r w:rsidR="002771E9">
              <w:rPr>
                <w:noProof/>
                <w:webHidden/>
              </w:rPr>
              <w:fldChar w:fldCharType="separate"/>
            </w:r>
            <w:r w:rsidR="002771E9">
              <w:rPr>
                <w:noProof/>
                <w:webHidden/>
              </w:rPr>
              <w:t>1</w:t>
            </w:r>
            <w:r w:rsidR="002771E9">
              <w:rPr>
                <w:noProof/>
                <w:webHidden/>
              </w:rPr>
              <w:fldChar w:fldCharType="end"/>
            </w:r>
          </w:hyperlink>
        </w:p>
        <w:p w14:paraId="274B287A" w14:textId="469EA277"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49" w:history="1">
            <w:r w:rsidR="002771E9" w:rsidRPr="009B22A1">
              <w:rPr>
                <w:rStyle w:val="Hyperlink"/>
                <w:rFonts w:eastAsia="Prelo Book"/>
                <w:noProof/>
                <w:spacing w:val="-3"/>
              </w:rPr>
              <w:t>Evaluation of Social Prescribing Models across Essex</w:t>
            </w:r>
            <w:r w:rsidR="002771E9">
              <w:rPr>
                <w:noProof/>
                <w:webHidden/>
              </w:rPr>
              <w:tab/>
            </w:r>
            <w:r w:rsidR="002771E9">
              <w:rPr>
                <w:noProof/>
                <w:webHidden/>
              </w:rPr>
              <w:fldChar w:fldCharType="begin"/>
            </w:r>
            <w:r w:rsidR="002771E9">
              <w:rPr>
                <w:noProof/>
                <w:webHidden/>
              </w:rPr>
              <w:instrText xml:space="preserve"> PAGEREF _Toc497934249 \h </w:instrText>
            </w:r>
            <w:r w:rsidR="002771E9">
              <w:rPr>
                <w:noProof/>
                <w:webHidden/>
              </w:rPr>
            </w:r>
            <w:r w:rsidR="002771E9">
              <w:rPr>
                <w:noProof/>
                <w:webHidden/>
              </w:rPr>
              <w:fldChar w:fldCharType="separate"/>
            </w:r>
            <w:r w:rsidR="002771E9">
              <w:rPr>
                <w:noProof/>
                <w:webHidden/>
              </w:rPr>
              <w:t>1</w:t>
            </w:r>
            <w:r w:rsidR="002771E9">
              <w:rPr>
                <w:noProof/>
                <w:webHidden/>
              </w:rPr>
              <w:fldChar w:fldCharType="end"/>
            </w:r>
          </w:hyperlink>
        </w:p>
        <w:p w14:paraId="095C8C7E" w14:textId="2215D226"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0" w:history="1">
            <w:r w:rsidR="002771E9" w:rsidRPr="009B22A1">
              <w:rPr>
                <w:rStyle w:val="Hyperlink"/>
                <w:rFonts w:eastAsia="Prelo Book"/>
                <w:noProof/>
                <w:spacing w:val="-3"/>
              </w:rPr>
              <w:t>Final Report – September 2017</w:t>
            </w:r>
            <w:r w:rsidR="002771E9">
              <w:rPr>
                <w:noProof/>
                <w:webHidden/>
              </w:rPr>
              <w:tab/>
            </w:r>
            <w:r w:rsidR="002771E9">
              <w:rPr>
                <w:noProof/>
                <w:webHidden/>
              </w:rPr>
              <w:fldChar w:fldCharType="begin"/>
            </w:r>
            <w:r w:rsidR="002771E9">
              <w:rPr>
                <w:noProof/>
                <w:webHidden/>
              </w:rPr>
              <w:instrText xml:space="preserve"> PAGEREF _Toc497934250 \h </w:instrText>
            </w:r>
            <w:r w:rsidR="002771E9">
              <w:rPr>
                <w:noProof/>
                <w:webHidden/>
              </w:rPr>
            </w:r>
            <w:r w:rsidR="002771E9">
              <w:rPr>
                <w:noProof/>
                <w:webHidden/>
              </w:rPr>
              <w:fldChar w:fldCharType="separate"/>
            </w:r>
            <w:r w:rsidR="002771E9">
              <w:rPr>
                <w:noProof/>
                <w:webHidden/>
              </w:rPr>
              <w:t>1</w:t>
            </w:r>
            <w:r w:rsidR="002771E9">
              <w:rPr>
                <w:noProof/>
                <w:webHidden/>
              </w:rPr>
              <w:fldChar w:fldCharType="end"/>
            </w:r>
          </w:hyperlink>
        </w:p>
        <w:p w14:paraId="3E866BC8" w14:textId="279BCEE6"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51" w:history="1">
            <w:r w:rsidR="002771E9" w:rsidRPr="009B22A1">
              <w:rPr>
                <w:rStyle w:val="Hyperlink"/>
                <w:noProof/>
              </w:rPr>
              <w:t>1</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Executive Summary</w:t>
            </w:r>
            <w:r w:rsidR="002771E9">
              <w:rPr>
                <w:noProof/>
                <w:webHidden/>
              </w:rPr>
              <w:tab/>
            </w:r>
            <w:r w:rsidR="002771E9">
              <w:rPr>
                <w:noProof/>
                <w:webHidden/>
              </w:rPr>
              <w:fldChar w:fldCharType="begin"/>
            </w:r>
            <w:r w:rsidR="002771E9">
              <w:rPr>
                <w:noProof/>
                <w:webHidden/>
              </w:rPr>
              <w:instrText xml:space="preserve"> PAGEREF _Toc497934251 \h </w:instrText>
            </w:r>
            <w:r w:rsidR="002771E9">
              <w:rPr>
                <w:noProof/>
                <w:webHidden/>
              </w:rPr>
            </w:r>
            <w:r w:rsidR="002771E9">
              <w:rPr>
                <w:noProof/>
                <w:webHidden/>
              </w:rPr>
              <w:fldChar w:fldCharType="separate"/>
            </w:r>
            <w:r w:rsidR="002771E9">
              <w:rPr>
                <w:noProof/>
                <w:webHidden/>
              </w:rPr>
              <w:t>3</w:t>
            </w:r>
            <w:r w:rsidR="002771E9">
              <w:rPr>
                <w:noProof/>
                <w:webHidden/>
              </w:rPr>
              <w:fldChar w:fldCharType="end"/>
            </w:r>
          </w:hyperlink>
        </w:p>
        <w:p w14:paraId="45E19F5D" w14:textId="42297068"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2" w:history="1">
            <w:r w:rsidR="002771E9" w:rsidRPr="009B22A1">
              <w:rPr>
                <w:rStyle w:val="Hyperlink"/>
                <w:noProof/>
                <w14:scene3d>
                  <w14:camera w14:prst="orthographicFront"/>
                  <w14:lightRig w14:rig="threePt" w14:dir="t">
                    <w14:rot w14:lat="0" w14:lon="0" w14:rev="0"/>
                  </w14:lightRig>
                </w14:scene3d>
              </w:rPr>
              <w:t>1.1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_Toc497934252 \h </w:instrText>
            </w:r>
            <w:r w:rsidR="002771E9">
              <w:rPr>
                <w:noProof/>
                <w:webHidden/>
              </w:rPr>
            </w:r>
            <w:r w:rsidR="002771E9">
              <w:rPr>
                <w:noProof/>
                <w:webHidden/>
              </w:rPr>
              <w:fldChar w:fldCharType="separate"/>
            </w:r>
            <w:r w:rsidR="002771E9">
              <w:rPr>
                <w:noProof/>
                <w:webHidden/>
              </w:rPr>
              <w:t>3</w:t>
            </w:r>
            <w:r w:rsidR="002771E9">
              <w:rPr>
                <w:noProof/>
                <w:webHidden/>
              </w:rPr>
              <w:fldChar w:fldCharType="end"/>
            </w:r>
          </w:hyperlink>
        </w:p>
        <w:p w14:paraId="7BAB861A" w14:textId="170DC303"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3" w:history="1">
            <w:r w:rsidR="002771E9" w:rsidRPr="009B22A1">
              <w:rPr>
                <w:rStyle w:val="Hyperlink"/>
                <w:noProof/>
                <w14:scene3d>
                  <w14:camera w14:prst="orthographicFront"/>
                  <w14:lightRig w14:rig="threePt" w14:dir="t">
                    <w14:rot w14:lat="0" w14:lon="0" w14:rev="0"/>
                  </w14:lightRig>
                </w14:scene3d>
              </w:rPr>
              <w:t>1.2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What is Social Prescribing</w:t>
            </w:r>
            <w:r w:rsidR="002771E9">
              <w:rPr>
                <w:noProof/>
                <w:webHidden/>
              </w:rPr>
              <w:tab/>
            </w:r>
            <w:r w:rsidR="002771E9">
              <w:rPr>
                <w:noProof/>
                <w:webHidden/>
              </w:rPr>
              <w:fldChar w:fldCharType="begin"/>
            </w:r>
            <w:r w:rsidR="002771E9">
              <w:rPr>
                <w:noProof/>
                <w:webHidden/>
              </w:rPr>
              <w:instrText xml:space="preserve"> PAGEREF _Toc497934253 \h </w:instrText>
            </w:r>
            <w:r w:rsidR="002771E9">
              <w:rPr>
                <w:noProof/>
                <w:webHidden/>
              </w:rPr>
            </w:r>
            <w:r w:rsidR="002771E9">
              <w:rPr>
                <w:noProof/>
                <w:webHidden/>
              </w:rPr>
              <w:fldChar w:fldCharType="separate"/>
            </w:r>
            <w:r w:rsidR="002771E9">
              <w:rPr>
                <w:noProof/>
                <w:webHidden/>
              </w:rPr>
              <w:t>3</w:t>
            </w:r>
            <w:r w:rsidR="002771E9">
              <w:rPr>
                <w:noProof/>
                <w:webHidden/>
              </w:rPr>
              <w:fldChar w:fldCharType="end"/>
            </w:r>
          </w:hyperlink>
        </w:p>
        <w:p w14:paraId="7E44930B" w14:textId="4D9BA158"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4" w:history="1">
            <w:r w:rsidR="002771E9" w:rsidRPr="009B22A1">
              <w:rPr>
                <w:rStyle w:val="Hyperlink"/>
                <w:noProof/>
                <w14:scene3d>
                  <w14:camera w14:prst="orthographicFront"/>
                  <w14:lightRig w14:rig="threePt" w14:dir="t">
                    <w14:rot w14:lat="0" w14:lon="0" w14:rev="0"/>
                  </w14:lightRig>
                </w14:scene3d>
              </w:rPr>
              <w:t>1.3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Social Prescribing Models in Essex</w:t>
            </w:r>
            <w:r w:rsidR="002771E9">
              <w:rPr>
                <w:noProof/>
                <w:webHidden/>
              </w:rPr>
              <w:tab/>
            </w:r>
            <w:r w:rsidR="002771E9">
              <w:rPr>
                <w:noProof/>
                <w:webHidden/>
              </w:rPr>
              <w:fldChar w:fldCharType="begin"/>
            </w:r>
            <w:r w:rsidR="002771E9">
              <w:rPr>
                <w:noProof/>
                <w:webHidden/>
              </w:rPr>
              <w:instrText xml:space="preserve"> PAGEREF _Toc497934254 \h </w:instrText>
            </w:r>
            <w:r w:rsidR="002771E9">
              <w:rPr>
                <w:noProof/>
                <w:webHidden/>
              </w:rPr>
            </w:r>
            <w:r w:rsidR="002771E9">
              <w:rPr>
                <w:noProof/>
                <w:webHidden/>
              </w:rPr>
              <w:fldChar w:fldCharType="separate"/>
            </w:r>
            <w:r w:rsidR="002771E9">
              <w:rPr>
                <w:noProof/>
                <w:webHidden/>
              </w:rPr>
              <w:t>4</w:t>
            </w:r>
            <w:r w:rsidR="002771E9">
              <w:rPr>
                <w:noProof/>
                <w:webHidden/>
              </w:rPr>
              <w:fldChar w:fldCharType="end"/>
            </w:r>
          </w:hyperlink>
        </w:p>
        <w:p w14:paraId="27CA1A16" w14:textId="02E0E87F"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5" w:history="1">
            <w:r w:rsidR="002771E9" w:rsidRPr="009B22A1">
              <w:rPr>
                <w:rStyle w:val="Hyperlink"/>
                <w:noProof/>
                <w14:scene3d>
                  <w14:camera w14:prst="orthographicFront"/>
                  <w14:lightRig w14:rig="threePt" w14:dir="t">
                    <w14:rot w14:lat="0" w14:lon="0" w14:rev="0"/>
                  </w14:lightRig>
                </w14:scene3d>
              </w:rPr>
              <w:t>1.4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Methodology</w:t>
            </w:r>
            <w:r w:rsidR="002771E9">
              <w:rPr>
                <w:noProof/>
                <w:webHidden/>
              </w:rPr>
              <w:tab/>
            </w:r>
            <w:r w:rsidR="002771E9">
              <w:rPr>
                <w:noProof/>
                <w:webHidden/>
              </w:rPr>
              <w:fldChar w:fldCharType="begin"/>
            </w:r>
            <w:r w:rsidR="002771E9">
              <w:rPr>
                <w:noProof/>
                <w:webHidden/>
              </w:rPr>
              <w:instrText xml:space="preserve"> PAGEREF _Toc497934255 \h </w:instrText>
            </w:r>
            <w:r w:rsidR="002771E9">
              <w:rPr>
                <w:noProof/>
                <w:webHidden/>
              </w:rPr>
            </w:r>
            <w:r w:rsidR="002771E9">
              <w:rPr>
                <w:noProof/>
                <w:webHidden/>
              </w:rPr>
              <w:fldChar w:fldCharType="separate"/>
            </w:r>
            <w:r w:rsidR="002771E9">
              <w:rPr>
                <w:noProof/>
                <w:webHidden/>
              </w:rPr>
              <w:t>7</w:t>
            </w:r>
            <w:r w:rsidR="002771E9">
              <w:rPr>
                <w:noProof/>
                <w:webHidden/>
              </w:rPr>
              <w:fldChar w:fldCharType="end"/>
            </w:r>
          </w:hyperlink>
        </w:p>
        <w:p w14:paraId="0F579909" w14:textId="18D55A0E"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6" w:history="1">
            <w:r w:rsidR="002771E9" w:rsidRPr="009B22A1">
              <w:rPr>
                <w:rStyle w:val="Hyperlink"/>
                <w:noProof/>
                <w14:scene3d>
                  <w14:camera w14:prst="orthographicFront"/>
                  <w14:lightRig w14:rig="threePt" w14:dir="t">
                    <w14:rot w14:lat="0" w14:lon="0" w14:rev="0"/>
                  </w14:lightRig>
                </w14:scene3d>
              </w:rPr>
              <w:t>1.5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Conclusions and Recommendations</w:t>
            </w:r>
            <w:r w:rsidR="002771E9">
              <w:rPr>
                <w:noProof/>
                <w:webHidden/>
              </w:rPr>
              <w:tab/>
            </w:r>
            <w:r w:rsidR="002771E9">
              <w:rPr>
                <w:noProof/>
                <w:webHidden/>
              </w:rPr>
              <w:fldChar w:fldCharType="begin"/>
            </w:r>
            <w:r w:rsidR="002771E9">
              <w:rPr>
                <w:noProof/>
                <w:webHidden/>
              </w:rPr>
              <w:instrText xml:space="preserve"> PAGEREF _Toc497934256 \h </w:instrText>
            </w:r>
            <w:r w:rsidR="002771E9">
              <w:rPr>
                <w:noProof/>
                <w:webHidden/>
              </w:rPr>
            </w:r>
            <w:r w:rsidR="002771E9">
              <w:rPr>
                <w:noProof/>
                <w:webHidden/>
              </w:rPr>
              <w:fldChar w:fldCharType="separate"/>
            </w:r>
            <w:r w:rsidR="002771E9">
              <w:rPr>
                <w:noProof/>
                <w:webHidden/>
              </w:rPr>
              <w:t>9</w:t>
            </w:r>
            <w:r w:rsidR="002771E9">
              <w:rPr>
                <w:noProof/>
                <w:webHidden/>
              </w:rPr>
              <w:fldChar w:fldCharType="end"/>
            </w:r>
          </w:hyperlink>
        </w:p>
        <w:p w14:paraId="2E9695FC" w14:textId="73461C5B"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57" w:history="1">
            <w:r w:rsidR="002771E9" w:rsidRPr="009B22A1">
              <w:rPr>
                <w:rStyle w:val="Hyperlink"/>
                <w:noProof/>
              </w:rPr>
              <w:t>2</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Background and Evalulation Terms of Reference</w:t>
            </w:r>
            <w:r w:rsidR="002771E9">
              <w:rPr>
                <w:noProof/>
                <w:webHidden/>
              </w:rPr>
              <w:tab/>
            </w:r>
            <w:r w:rsidR="002771E9">
              <w:rPr>
                <w:noProof/>
                <w:webHidden/>
              </w:rPr>
              <w:fldChar w:fldCharType="begin"/>
            </w:r>
            <w:r w:rsidR="002771E9">
              <w:rPr>
                <w:noProof/>
                <w:webHidden/>
              </w:rPr>
              <w:instrText xml:space="preserve"> PAGEREF _Toc497934257 \h </w:instrText>
            </w:r>
            <w:r w:rsidR="002771E9">
              <w:rPr>
                <w:noProof/>
                <w:webHidden/>
              </w:rPr>
            </w:r>
            <w:r w:rsidR="002771E9">
              <w:rPr>
                <w:noProof/>
                <w:webHidden/>
              </w:rPr>
              <w:fldChar w:fldCharType="separate"/>
            </w:r>
            <w:r w:rsidR="002771E9">
              <w:rPr>
                <w:noProof/>
                <w:webHidden/>
              </w:rPr>
              <w:t>20</w:t>
            </w:r>
            <w:r w:rsidR="002771E9">
              <w:rPr>
                <w:noProof/>
                <w:webHidden/>
              </w:rPr>
              <w:fldChar w:fldCharType="end"/>
            </w:r>
          </w:hyperlink>
        </w:p>
        <w:p w14:paraId="6204A25C" w14:textId="641E00F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8" w:history="1">
            <w:r w:rsidR="002771E9" w:rsidRPr="009B22A1">
              <w:rPr>
                <w:rStyle w:val="Hyperlink"/>
                <w:noProof/>
                <w14:scene3d>
                  <w14:camera w14:prst="orthographicFront"/>
                  <w14:lightRig w14:rig="threePt" w14:dir="t">
                    <w14:rot w14:lat="0" w14:lon="0" w14:rev="0"/>
                  </w14:lightRig>
                </w14:scene3d>
              </w:rPr>
              <w:t>2.1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_Toc497934258 \h </w:instrText>
            </w:r>
            <w:r w:rsidR="002771E9">
              <w:rPr>
                <w:noProof/>
                <w:webHidden/>
              </w:rPr>
            </w:r>
            <w:r w:rsidR="002771E9">
              <w:rPr>
                <w:noProof/>
                <w:webHidden/>
              </w:rPr>
              <w:fldChar w:fldCharType="separate"/>
            </w:r>
            <w:r w:rsidR="002771E9">
              <w:rPr>
                <w:noProof/>
                <w:webHidden/>
              </w:rPr>
              <w:t>20</w:t>
            </w:r>
            <w:r w:rsidR="002771E9">
              <w:rPr>
                <w:noProof/>
                <w:webHidden/>
              </w:rPr>
              <w:fldChar w:fldCharType="end"/>
            </w:r>
          </w:hyperlink>
        </w:p>
        <w:p w14:paraId="66D59E01" w14:textId="1CDEEF9D"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59" w:history="1">
            <w:r w:rsidR="002771E9" w:rsidRPr="009B22A1">
              <w:rPr>
                <w:rStyle w:val="Hyperlink"/>
                <w:noProof/>
                <w14:scene3d>
                  <w14:camera w14:prst="orthographicFront"/>
                  <w14:lightRig w14:rig="threePt" w14:dir="t">
                    <w14:rot w14:lat="0" w14:lon="0" w14:rev="0"/>
                  </w14:lightRig>
                </w14:scene3d>
              </w:rPr>
              <w:t>2.2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What is Social Prescribing</w:t>
            </w:r>
            <w:r w:rsidR="002771E9">
              <w:rPr>
                <w:noProof/>
                <w:webHidden/>
              </w:rPr>
              <w:tab/>
            </w:r>
            <w:r w:rsidR="002771E9">
              <w:rPr>
                <w:noProof/>
                <w:webHidden/>
              </w:rPr>
              <w:fldChar w:fldCharType="begin"/>
            </w:r>
            <w:r w:rsidR="002771E9">
              <w:rPr>
                <w:noProof/>
                <w:webHidden/>
              </w:rPr>
              <w:instrText xml:space="preserve"> PAGEREF _Toc497934259 \h </w:instrText>
            </w:r>
            <w:r w:rsidR="002771E9">
              <w:rPr>
                <w:noProof/>
                <w:webHidden/>
              </w:rPr>
            </w:r>
            <w:r w:rsidR="002771E9">
              <w:rPr>
                <w:noProof/>
                <w:webHidden/>
              </w:rPr>
              <w:fldChar w:fldCharType="separate"/>
            </w:r>
            <w:r w:rsidR="002771E9">
              <w:rPr>
                <w:noProof/>
                <w:webHidden/>
              </w:rPr>
              <w:t>20</w:t>
            </w:r>
            <w:r w:rsidR="002771E9">
              <w:rPr>
                <w:noProof/>
                <w:webHidden/>
              </w:rPr>
              <w:fldChar w:fldCharType="end"/>
            </w:r>
          </w:hyperlink>
        </w:p>
        <w:p w14:paraId="2C1B6C7F" w14:textId="7F45E2C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0" w:history="1">
            <w:r w:rsidR="002771E9" w:rsidRPr="009B22A1">
              <w:rPr>
                <w:rStyle w:val="Hyperlink"/>
                <w:noProof/>
                <w14:scene3d>
                  <w14:camera w14:prst="orthographicFront"/>
                  <w14:lightRig w14:rig="threePt" w14:dir="t">
                    <w14:rot w14:lat="0" w14:lon="0" w14:rev="0"/>
                  </w14:lightRig>
                </w14:scene3d>
              </w:rPr>
              <w:t>2.3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Evidence base for Social Prescribing</w:t>
            </w:r>
            <w:r w:rsidR="002771E9">
              <w:rPr>
                <w:noProof/>
                <w:webHidden/>
              </w:rPr>
              <w:tab/>
            </w:r>
            <w:r w:rsidR="002771E9">
              <w:rPr>
                <w:noProof/>
                <w:webHidden/>
              </w:rPr>
              <w:fldChar w:fldCharType="begin"/>
            </w:r>
            <w:r w:rsidR="002771E9">
              <w:rPr>
                <w:noProof/>
                <w:webHidden/>
              </w:rPr>
              <w:instrText xml:space="preserve"> PAGEREF _Toc497934260 \h </w:instrText>
            </w:r>
            <w:r w:rsidR="002771E9">
              <w:rPr>
                <w:noProof/>
                <w:webHidden/>
              </w:rPr>
            </w:r>
            <w:r w:rsidR="002771E9">
              <w:rPr>
                <w:noProof/>
                <w:webHidden/>
              </w:rPr>
              <w:fldChar w:fldCharType="separate"/>
            </w:r>
            <w:r w:rsidR="002771E9">
              <w:rPr>
                <w:noProof/>
                <w:webHidden/>
              </w:rPr>
              <w:t>21</w:t>
            </w:r>
            <w:r w:rsidR="002771E9">
              <w:rPr>
                <w:noProof/>
                <w:webHidden/>
              </w:rPr>
              <w:fldChar w:fldCharType="end"/>
            </w:r>
          </w:hyperlink>
        </w:p>
        <w:p w14:paraId="331E1FB3" w14:textId="2F7F302B"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1" w:history="1">
            <w:r w:rsidR="002771E9" w:rsidRPr="009B22A1">
              <w:rPr>
                <w:rStyle w:val="Hyperlink"/>
                <w:noProof/>
                <w14:scene3d>
                  <w14:camera w14:prst="orthographicFront"/>
                  <w14:lightRig w14:rig="threePt" w14:dir="t">
                    <w14:rot w14:lat="0" w14:lon="0" w14:rev="0"/>
                  </w14:lightRig>
                </w14:scene3d>
              </w:rPr>
              <w:t>2.4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Background to Essex County Council Social Prescribing</w:t>
            </w:r>
            <w:r w:rsidR="002771E9">
              <w:rPr>
                <w:noProof/>
                <w:webHidden/>
              </w:rPr>
              <w:tab/>
            </w:r>
            <w:r w:rsidR="002771E9">
              <w:rPr>
                <w:noProof/>
                <w:webHidden/>
              </w:rPr>
              <w:fldChar w:fldCharType="begin"/>
            </w:r>
            <w:r w:rsidR="002771E9">
              <w:rPr>
                <w:noProof/>
                <w:webHidden/>
              </w:rPr>
              <w:instrText xml:space="preserve"> PAGEREF _Toc497934261 \h </w:instrText>
            </w:r>
            <w:r w:rsidR="002771E9">
              <w:rPr>
                <w:noProof/>
                <w:webHidden/>
              </w:rPr>
            </w:r>
            <w:r w:rsidR="002771E9">
              <w:rPr>
                <w:noProof/>
                <w:webHidden/>
              </w:rPr>
              <w:fldChar w:fldCharType="separate"/>
            </w:r>
            <w:r w:rsidR="002771E9">
              <w:rPr>
                <w:noProof/>
                <w:webHidden/>
              </w:rPr>
              <w:t>22</w:t>
            </w:r>
            <w:r w:rsidR="002771E9">
              <w:rPr>
                <w:noProof/>
                <w:webHidden/>
              </w:rPr>
              <w:fldChar w:fldCharType="end"/>
            </w:r>
          </w:hyperlink>
        </w:p>
        <w:p w14:paraId="25B2EE85" w14:textId="4B7E99B8"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2" w:history="1">
            <w:r w:rsidR="002771E9" w:rsidRPr="009B22A1">
              <w:rPr>
                <w:rStyle w:val="Hyperlink"/>
                <w:noProof/>
                <w14:scene3d>
                  <w14:camera w14:prst="orthographicFront"/>
                  <w14:lightRig w14:rig="threePt" w14:dir="t">
                    <w14:rot w14:lat="0" w14:lon="0" w14:rev="0"/>
                  </w14:lightRig>
                </w14:scene3d>
              </w:rPr>
              <w:t>2.5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Terms of Reference</w:t>
            </w:r>
            <w:r w:rsidR="002771E9">
              <w:rPr>
                <w:noProof/>
                <w:webHidden/>
              </w:rPr>
              <w:tab/>
            </w:r>
            <w:r w:rsidR="002771E9">
              <w:rPr>
                <w:noProof/>
                <w:webHidden/>
              </w:rPr>
              <w:fldChar w:fldCharType="begin"/>
            </w:r>
            <w:r w:rsidR="002771E9">
              <w:rPr>
                <w:noProof/>
                <w:webHidden/>
              </w:rPr>
              <w:instrText xml:space="preserve"> PAGEREF _Toc497934262 \h </w:instrText>
            </w:r>
            <w:r w:rsidR="002771E9">
              <w:rPr>
                <w:noProof/>
                <w:webHidden/>
              </w:rPr>
            </w:r>
            <w:r w:rsidR="002771E9">
              <w:rPr>
                <w:noProof/>
                <w:webHidden/>
              </w:rPr>
              <w:fldChar w:fldCharType="separate"/>
            </w:r>
            <w:r w:rsidR="002771E9">
              <w:rPr>
                <w:noProof/>
                <w:webHidden/>
              </w:rPr>
              <w:t>24</w:t>
            </w:r>
            <w:r w:rsidR="002771E9">
              <w:rPr>
                <w:noProof/>
                <w:webHidden/>
              </w:rPr>
              <w:fldChar w:fldCharType="end"/>
            </w:r>
          </w:hyperlink>
        </w:p>
        <w:p w14:paraId="5C752BA6" w14:textId="34809670"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3" w:history="1">
            <w:r w:rsidR="002771E9" w:rsidRPr="009B22A1">
              <w:rPr>
                <w:rStyle w:val="Hyperlink"/>
                <w:noProof/>
                <w14:scene3d>
                  <w14:camera w14:prst="orthographicFront"/>
                  <w14:lightRig w14:rig="threePt" w14:dir="t">
                    <w14:rot w14:lat="0" w14:lon="0" w14:rev="0"/>
                  </w14:lightRig>
                </w14:scene3d>
              </w:rPr>
              <w:t>2.6</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Purpose of this report</w:t>
            </w:r>
            <w:r w:rsidR="002771E9">
              <w:rPr>
                <w:noProof/>
                <w:webHidden/>
              </w:rPr>
              <w:tab/>
            </w:r>
            <w:r w:rsidR="002771E9">
              <w:rPr>
                <w:noProof/>
                <w:webHidden/>
              </w:rPr>
              <w:fldChar w:fldCharType="begin"/>
            </w:r>
            <w:r w:rsidR="002771E9">
              <w:rPr>
                <w:noProof/>
                <w:webHidden/>
              </w:rPr>
              <w:instrText xml:space="preserve"> PAGEREF _Toc497934263 \h </w:instrText>
            </w:r>
            <w:r w:rsidR="002771E9">
              <w:rPr>
                <w:noProof/>
                <w:webHidden/>
              </w:rPr>
            </w:r>
            <w:r w:rsidR="002771E9">
              <w:rPr>
                <w:noProof/>
                <w:webHidden/>
              </w:rPr>
              <w:fldChar w:fldCharType="separate"/>
            </w:r>
            <w:r w:rsidR="002771E9">
              <w:rPr>
                <w:noProof/>
                <w:webHidden/>
              </w:rPr>
              <w:t>25</w:t>
            </w:r>
            <w:r w:rsidR="002771E9">
              <w:rPr>
                <w:noProof/>
                <w:webHidden/>
              </w:rPr>
              <w:fldChar w:fldCharType="end"/>
            </w:r>
          </w:hyperlink>
        </w:p>
        <w:p w14:paraId="16185626" w14:textId="48CF8436"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64" w:history="1">
            <w:r w:rsidR="002771E9" w:rsidRPr="009B22A1">
              <w:rPr>
                <w:rStyle w:val="Hyperlink"/>
                <w:noProof/>
              </w:rPr>
              <w:t>3</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Methodology</w:t>
            </w:r>
            <w:r w:rsidR="002771E9">
              <w:rPr>
                <w:noProof/>
                <w:webHidden/>
              </w:rPr>
              <w:tab/>
            </w:r>
            <w:r w:rsidR="002771E9">
              <w:rPr>
                <w:noProof/>
                <w:webHidden/>
              </w:rPr>
              <w:fldChar w:fldCharType="begin"/>
            </w:r>
            <w:r w:rsidR="002771E9">
              <w:rPr>
                <w:noProof/>
                <w:webHidden/>
              </w:rPr>
              <w:instrText xml:space="preserve"> PAGEREF _Toc497934264 \h </w:instrText>
            </w:r>
            <w:r w:rsidR="002771E9">
              <w:rPr>
                <w:noProof/>
                <w:webHidden/>
              </w:rPr>
            </w:r>
            <w:r w:rsidR="002771E9">
              <w:rPr>
                <w:noProof/>
                <w:webHidden/>
              </w:rPr>
              <w:fldChar w:fldCharType="separate"/>
            </w:r>
            <w:r w:rsidR="002771E9">
              <w:rPr>
                <w:noProof/>
                <w:webHidden/>
              </w:rPr>
              <w:t>26</w:t>
            </w:r>
            <w:r w:rsidR="002771E9">
              <w:rPr>
                <w:noProof/>
                <w:webHidden/>
              </w:rPr>
              <w:fldChar w:fldCharType="end"/>
            </w:r>
          </w:hyperlink>
        </w:p>
        <w:p w14:paraId="3EADB749" w14:textId="7DEE3419"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5" w:history="1">
            <w:r w:rsidR="002771E9" w:rsidRPr="009B22A1">
              <w:rPr>
                <w:rStyle w:val="Hyperlink"/>
                <w:noProof/>
                <w14:scene3d>
                  <w14:camera w14:prst="orthographicFront"/>
                  <w14:lightRig w14:rig="threePt" w14:dir="t">
                    <w14:rot w14:lat="0" w14:lon="0" w14:rev="0"/>
                  </w14:lightRig>
                </w14:scene3d>
              </w:rPr>
              <w:t>3.1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Methodology Stages</w:t>
            </w:r>
            <w:r w:rsidR="002771E9">
              <w:rPr>
                <w:noProof/>
                <w:webHidden/>
              </w:rPr>
              <w:tab/>
            </w:r>
            <w:r w:rsidR="002771E9">
              <w:rPr>
                <w:noProof/>
                <w:webHidden/>
              </w:rPr>
              <w:fldChar w:fldCharType="begin"/>
            </w:r>
            <w:r w:rsidR="002771E9">
              <w:rPr>
                <w:noProof/>
                <w:webHidden/>
              </w:rPr>
              <w:instrText xml:space="preserve"> PAGEREF _Toc497934265 \h </w:instrText>
            </w:r>
            <w:r w:rsidR="002771E9">
              <w:rPr>
                <w:noProof/>
                <w:webHidden/>
              </w:rPr>
            </w:r>
            <w:r w:rsidR="002771E9">
              <w:rPr>
                <w:noProof/>
                <w:webHidden/>
              </w:rPr>
              <w:fldChar w:fldCharType="separate"/>
            </w:r>
            <w:r w:rsidR="002771E9">
              <w:rPr>
                <w:noProof/>
                <w:webHidden/>
              </w:rPr>
              <w:t>26</w:t>
            </w:r>
            <w:r w:rsidR="002771E9">
              <w:rPr>
                <w:noProof/>
                <w:webHidden/>
              </w:rPr>
              <w:fldChar w:fldCharType="end"/>
            </w:r>
          </w:hyperlink>
        </w:p>
        <w:p w14:paraId="295D504D" w14:textId="7E080415"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6" w:history="1">
            <w:r w:rsidR="002771E9" w:rsidRPr="009B22A1">
              <w:rPr>
                <w:rStyle w:val="Hyperlink"/>
                <w:noProof/>
                <w14:scene3d>
                  <w14:camera w14:prst="orthographicFront"/>
                  <w14:lightRig w14:rig="threePt" w14:dir="t">
                    <w14:rot w14:lat="0" w14:lon="0" w14:rev="0"/>
                  </w14:lightRig>
                </w14:scene3d>
              </w:rPr>
              <w:t>3.2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Information / Data Governance</w:t>
            </w:r>
            <w:r w:rsidR="002771E9">
              <w:rPr>
                <w:noProof/>
                <w:webHidden/>
              </w:rPr>
              <w:tab/>
            </w:r>
            <w:r w:rsidR="002771E9">
              <w:rPr>
                <w:noProof/>
                <w:webHidden/>
              </w:rPr>
              <w:fldChar w:fldCharType="begin"/>
            </w:r>
            <w:r w:rsidR="002771E9">
              <w:rPr>
                <w:noProof/>
                <w:webHidden/>
              </w:rPr>
              <w:instrText xml:space="preserve"> PAGEREF _Toc497934266 \h </w:instrText>
            </w:r>
            <w:r w:rsidR="002771E9">
              <w:rPr>
                <w:noProof/>
                <w:webHidden/>
              </w:rPr>
            </w:r>
            <w:r w:rsidR="002771E9">
              <w:rPr>
                <w:noProof/>
                <w:webHidden/>
              </w:rPr>
              <w:fldChar w:fldCharType="separate"/>
            </w:r>
            <w:r w:rsidR="002771E9">
              <w:rPr>
                <w:noProof/>
                <w:webHidden/>
              </w:rPr>
              <w:t>28</w:t>
            </w:r>
            <w:r w:rsidR="002771E9">
              <w:rPr>
                <w:noProof/>
                <w:webHidden/>
              </w:rPr>
              <w:fldChar w:fldCharType="end"/>
            </w:r>
          </w:hyperlink>
        </w:p>
        <w:p w14:paraId="7BDE5935" w14:textId="4DBB5F31"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7" w:history="1">
            <w:r w:rsidR="002771E9" w:rsidRPr="009B22A1">
              <w:rPr>
                <w:rStyle w:val="Hyperlink"/>
                <w:noProof/>
                <w14:scene3d>
                  <w14:camera w14:prst="orthographicFront"/>
                  <w14:lightRig w14:rig="threePt" w14:dir="t">
                    <w14:rot w14:lat="0" w14:lon="0" w14:rev="0"/>
                  </w14:lightRig>
                </w14:scene3d>
              </w:rPr>
              <w:t>3.3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Report Outline</w:t>
            </w:r>
            <w:r w:rsidR="002771E9">
              <w:rPr>
                <w:noProof/>
                <w:webHidden/>
              </w:rPr>
              <w:tab/>
            </w:r>
            <w:r w:rsidR="002771E9">
              <w:rPr>
                <w:noProof/>
                <w:webHidden/>
              </w:rPr>
              <w:fldChar w:fldCharType="begin"/>
            </w:r>
            <w:r w:rsidR="002771E9">
              <w:rPr>
                <w:noProof/>
                <w:webHidden/>
              </w:rPr>
              <w:instrText xml:space="preserve"> PAGEREF _Toc497934267 \h </w:instrText>
            </w:r>
            <w:r w:rsidR="002771E9">
              <w:rPr>
                <w:noProof/>
                <w:webHidden/>
              </w:rPr>
            </w:r>
            <w:r w:rsidR="002771E9">
              <w:rPr>
                <w:noProof/>
                <w:webHidden/>
              </w:rPr>
              <w:fldChar w:fldCharType="separate"/>
            </w:r>
            <w:r w:rsidR="002771E9">
              <w:rPr>
                <w:noProof/>
                <w:webHidden/>
              </w:rPr>
              <w:t>29</w:t>
            </w:r>
            <w:r w:rsidR="002771E9">
              <w:rPr>
                <w:noProof/>
                <w:webHidden/>
              </w:rPr>
              <w:fldChar w:fldCharType="end"/>
            </w:r>
          </w:hyperlink>
        </w:p>
        <w:p w14:paraId="1C115226" w14:textId="11BC3AFD"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68" w:history="1">
            <w:r w:rsidR="002771E9" w:rsidRPr="009B22A1">
              <w:rPr>
                <w:rStyle w:val="Hyperlink"/>
                <w:noProof/>
              </w:rPr>
              <w:t>4</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Social Prescribing Models</w:t>
            </w:r>
            <w:r w:rsidR="002771E9">
              <w:rPr>
                <w:noProof/>
                <w:webHidden/>
              </w:rPr>
              <w:tab/>
            </w:r>
            <w:r w:rsidR="002771E9">
              <w:rPr>
                <w:noProof/>
                <w:webHidden/>
              </w:rPr>
              <w:fldChar w:fldCharType="begin"/>
            </w:r>
            <w:r w:rsidR="002771E9">
              <w:rPr>
                <w:noProof/>
                <w:webHidden/>
              </w:rPr>
              <w:instrText xml:space="preserve"> PAGEREF _Toc497934268 \h </w:instrText>
            </w:r>
            <w:r w:rsidR="002771E9">
              <w:rPr>
                <w:noProof/>
                <w:webHidden/>
              </w:rPr>
            </w:r>
            <w:r w:rsidR="002771E9">
              <w:rPr>
                <w:noProof/>
                <w:webHidden/>
              </w:rPr>
              <w:fldChar w:fldCharType="separate"/>
            </w:r>
            <w:r w:rsidR="002771E9">
              <w:rPr>
                <w:noProof/>
                <w:webHidden/>
              </w:rPr>
              <w:t>30</w:t>
            </w:r>
            <w:r w:rsidR="002771E9">
              <w:rPr>
                <w:noProof/>
                <w:webHidden/>
              </w:rPr>
              <w:fldChar w:fldCharType="end"/>
            </w:r>
          </w:hyperlink>
        </w:p>
        <w:p w14:paraId="5F893413" w14:textId="3CB8BE27"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69" w:history="1">
            <w:r w:rsidR="002771E9" w:rsidRPr="009B22A1">
              <w:rPr>
                <w:rStyle w:val="Hyperlink"/>
                <w:noProof/>
                <w14:scene3d>
                  <w14:camera w14:prst="orthographicFront"/>
                  <w14:lightRig w14:rig="threePt" w14:dir="t">
                    <w14:rot w14:lat="0" w14:lon="0" w14:rev="0"/>
                  </w14:lightRig>
                </w14:scene3d>
              </w:rPr>
              <w:t>4.1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_Toc497934269 \h </w:instrText>
            </w:r>
            <w:r w:rsidR="002771E9">
              <w:rPr>
                <w:noProof/>
                <w:webHidden/>
              </w:rPr>
            </w:r>
            <w:r w:rsidR="002771E9">
              <w:rPr>
                <w:noProof/>
                <w:webHidden/>
              </w:rPr>
              <w:fldChar w:fldCharType="separate"/>
            </w:r>
            <w:r w:rsidR="002771E9">
              <w:rPr>
                <w:noProof/>
                <w:webHidden/>
              </w:rPr>
              <w:t>30</w:t>
            </w:r>
            <w:r w:rsidR="002771E9">
              <w:rPr>
                <w:noProof/>
                <w:webHidden/>
              </w:rPr>
              <w:fldChar w:fldCharType="end"/>
            </w:r>
          </w:hyperlink>
        </w:p>
        <w:p w14:paraId="2D9FA68D" w14:textId="016062CC"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0" w:history="1">
            <w:r w:rsidR="002771E9" w:rsidRPr="009B22A1">
              <w:rPr>
                <w:rStyle w:val="Hyperlink"/>
                <w:noProof/>
                <w14:scene3d>
                  <w14:camera w14:prst="orthographicFront"/>
                  <w14:lightRig w14:rig="threePt" w14:dir="t">
                    <w14:rot w14:lat="0" w14:lon="0" w14:rev="0"/>
                  </w14:lightRig>
                </w14:scene3d>
              </w:rPr>
              <w:t>4.2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Essex Social Prescribing Models</w:t>
            </w:r>
            <w:r w:rsidR="002771E9">
              <w:rPr>
                <w:noProof/>
                <w:webHidden/>
              </w:rPr>
              <w:tab/>
            </w:r>
            <w:r w:rsidR="002771E9">
              <w:rPr>
                <w:noProof/>
                <w:webHidden/>
              </w:rPr>
              <w:fldChar w:fldCharType="begin"/>
            </w:r>
            <w:r w:rsidR="002771E9">
              <w:rPr>
                <w:noProof/>
                <w:webHidden/>
              </w:rPr>
              <w:instrText xml:space="preserve"> PAGEREF _Toc497934270 \h </w:instrText>
            </w:r>
            <w:r w:rsidR="002771E9">
              <w:rPr>
                <w:noProof/>
                <w:webHidden/>
              </w:rPr>
            </w:r>
            <w:r w:rsidR="002771E9">
              <w:rPr>
                <w:noProof/>
                <w:webHidden/>
              </w:rPr>
              <w:fldChar w:fldCharType="separate"/>
            </w:r>
            <w:r w:rsidR="002771E9">
              <w:rPr>
                <w:noProof/>
                <w:webHidden/>
              </w:rPr>
              <w:t>30</w:t>
            </w:r>
            <w:r w:rsidR="002771E9">
              <w:rPr>
                <w:noProof/>
                <w:webHidden/>
              </w:rPr>
              <w:fldChar w:fldCharType="end"/>
            </w:r>
          </w:hyperlink>
        </w:p>
        <w:p w14:paraId="60C54D68" w14:textId="3FF9C3BA"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71" w:history="1">
            <w:r w:rsidR="002771E9" w:rsidRPr="009B22A1">
              <w:rPr>
                <w:rStyle w:val="Hyperlink"/>
                <w:noProof/>
              </w:rPr>
              <w:t>5</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Indicators</w:t>
            </w:r>
            <w:r w:rsidR="002771E9">
              <w:rPr>
                <w:noProof/>
                <w:webHidden/>
              </w:rPr>
              <w:tab/>
            </w:r>
            <w:r w:rsidR="002771E9">
              <w:rPr>
                <w:noProof/>
                <w:webHidden/>
              </w:rPr>
              <w:fldChar w:fldCharType="begin"/>
            </w:r>
            <w:r w:rsidR="002771E9">
              <w:rPr>
                <w:noProof/>
                <w:webHidden/>
              </w:rPr>
              <w:instrText xml:space="preserve"> PAGEREF _Toc497934271 \h </w:instrText>
            </w:r>
            <w:r w:rsidR="002771E9">
              <w:rPr>
                <w:noProof/>
                <w:webHidden/>
              </w:rPr>
            </w:r>
            <w:r w:rsidR="002771E9">
              <w:rPr>
                <w:noProof/>
                <w:webHidden/>
              </w:rPr>
              <w:fldChar w:fldCharType="separate"/>
            </w:r>
            <w:r w:rsidR="002771E9">
              <w:rPr>
                <w:noProof/>
                <w:webHidden/>
              </w:rPr>
              <w:t>37</w:t>
            </w:r>
            <w:r w:rsidR="002771E9">
              <w:rPr>
                <w:noProof/>
                <w:webHidden/>
              </w:rPr>
              <w:fldChar w:fldCharType="end"/>
            </w:r>
          </w:hyperlink>
        </w:p>
        <w:p w14:paraId="0C3774FD" w14:textId="6C873765"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2" w:history="1">
            <w:r w:rsidR="002771E9" w:rsidRPr="009B22A1">
              <w:rPr>
                <w:rStyle w:val="Hyperlink"/>
                <w:noProof/>
                <w14:scene3d>
                  <w14:camera w14:prst="orthographicFront"/>
                  <w14:lightRig w14:rig="threePt" w14:dir="t">
                    <w14:rot w14:lat="0" w14:lon="0" w14:rev="0"/>
                  </w14:lightRig>
                </w14:scene3d>
              </w:rPr>
              <w:t>5.1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_Toc497934272 \h </w:instrText>
            </w:r>
            <w:r w:rsidR="002771E9">
              <w:rPr>
                <w:noProof/>
                <w:webHidden/>
              </w:rPr>
            </w:r>
            <w:r w:rsidR="002771E9">
              <w:rPr>
                <w:noProof/>
                <w:webHidden/>
              </w:rPr>
              <w:fldChar w:fldCharType="separate"/>
            </w:r>
            <w:r w:rsidR="002771E9">
              <w:rPr>
                <w:noProof/>
                <w:webHidden/>
              </w:rPr>
              <w:t>37</w:t>
            </w:r>
            <w:r w:rsidR="002771E9">
              <w:rPr>
                <w:noProof/>
                <w:webHidden/>
              </w:rPr>
              <w:fldChar w:fldCharType="end"/>
            </w:r>
          </w:hyperlink>
        </w:p>
        <w:p w14:paraId="468FB818" w14:textId="75FDEB4E"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3" w:history="1">
            <w:r w:rsidR="002771E9" w:rsidRPr="009B22A1">
              <w:rPr>
                <w:rStyle w:val="Hyperlink"/>
                <w:noProof/>
                <w14:scene3d>
                  <w14:camera w14:prst="orthographicFront"/>
                  <w14:lightRig w14:rig="threePt" w14:dir="t">
                    <w14:rot w14:lat="0" w14:lon="0" w14:rev="0"/>
                  </w14:lightRig>
                </w14:scene3d>
              </w:rPr>
              <w:t>5.2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Assessment</w:t>
            </w:r>
            <w:r w:rsidR="002771E9">
              <w:rPr>
                <w:noProof/>
                <w:webHidden/>
              </w:rPr>
              <w:tab/>
            </w:r>
            <w:r w:rsidR="002771E9">
              <w:rPr>
                <w:noProof/>
                <w:webHidden/>
              </w:rPr>
              <w:fldChar w:fldCharType="begin"/>
            </w:r>
            <w:r w:rsidR="002771E9">
              <w:rPr>
                <w:noProof/>
                <w:webHidden/>
              </w:rPr>
              <w:instrText xml:space="preserve"> PAGEREF _Toc497934273 \h </w:instrText>
            </w:r>
            <w:r w:rsidR="002771E9">
              <w:rPr>
                <w:noProof/>
                <w:webHidden/>
              </w:rPr>
            </w:r>
            <w:r w:rsidR="002771E9">
              <w:rPr>
                <w:noProof/>
                <w:webHidden/>
              </w:rPr>
              <w:fldChar w:fldCharType="separate"/>
            </w:r>
            <w:r w:rsidR="002771E9">
              <w:rPr>
                <w:noProof/>
                <w:webHidden/>
              </w:rPr>
              <w:t>37</w:t>
            </w:r>
            <w:r w:rsidR="002771E9">
              <w:rPr>
                <w:noProof/>
                <w:webHidden/>
              </w:rPr>
              <w:fldChar w:fldCharType="end"/>
            </w:r>
          </w:hyperlink>
        </w:p>
        <w:p w14:paraId="129654AD" w14:textId="42303987"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4" w:history="1">
            <w:r w:rsidR="002771E9" w:rsidRPr="009B22A1">
              <w:rPr>
                <w:rStyle w:val="Hyperlink"/>
                <w:noProof/>
                <w14:scene3d>
                  <w14:camera w14:prst="orthographicFront"/>
                  <w14:lightRig w14:rig="threePt" w14:dir="t">
                    <w14:rot w14:lat="0" w14:lon="0" w14:rev="0"/>
                  </w14:lightRig>
                </w14:scene3d>
              </w:rPr>
              <w:t>5.3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Conclusion</w:t>
            </w:r>
            <w:r w:rsidR="002771E9">
              <w:rPr>
                <w:noProof/>
                <w:webHidden/>
              </w:rPr>
              <w:tab/>
            </w:r>
            <w:r w:rsidR="002771E9">
              <w:rPr>
                <w:noProof/>
                <w:webHidden/>
              </w:rPr>
              <w:fldChar w:fldCharType="begin"/>
            </w:r>
            <w:r w:rsidR="002771E9">
              <w:rPr>
                <w:noProof/>
                <w:webHidden/>
              </w:rPr>
              <w:instrText xml:space="preserve"> PAGEREF _Toc497934274 \h </w:instrText>
            </w:r>
            <w:r w:rsidR="002771E9">
              <w:rPr>
                <w:noProof/>
                <w:webHidden/>
              </w:rPr>
            </w:r>
            <w:r w:rsidR="002771E9">
              <w:rPr>
                <w:noProof/>
                <w:webHidden/>
              </w:rPr>
              <w:fldChar w:fldCharType="separate"/>
            </w:r>
            <w:r w:rsidR="002771E9">
              <w:rPr>
                <w:noProof/>
                <w:webHidden/>
              </w:rPr>
              <w:t>39</w:t>
            </w:r>
            <w:r w:rsidR="002771E9">
              <w:rPr>
                <w:noProof/>
                <w:webHidden/>
              </w:rPr>
              <w:fldChar w:fldCharType="end"/>
            </w:r>
          </w:hyperlink>
        </w:p>
        <w:p w14:paraId="2C3B302A" w14:textId="6BA2D4A9"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75" w:history="1">
            <w:r w:rsidR="002771E9" w:rsidRPr="009B22A1">
              <w:rPr>
                <w:rStyle w:val="Hyperlink"/>
                <w:noProof/>
              </w:rPr>
              <w:t>6</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Performance</w:t>
            </w:r>
            <w:r w:rsidR="002771E9">
              <w:rPr>
                <w:noProof/>
                <w:webHidden/>
              </w:rPr>
              <w:tab/>
            </w:r>
            <w:r w:rsidR="002771E9">
              <w:rPr>
                <w:noProof/>
                <w:webHidden/>
              </w:rPr>
              <w:fldChar w:fldCharType="begin"/>
            </w:r>
            <w:r w:rsidR="002771E9">
              <w:rPr>
                <w:noProof/>
                <w:webHidden/>
              </w:rPr>
              <w:instrText xml:space="preserve"> PAGEREF _Toc497934275 \h </w:instrText>
            </w:r>
            <w:r w:rsidR="002771E9">
              <w:rPr>
                <w:noProof/>
                <w:webHidden/>
              </w:rPr>
            </w:r>
            <w:r w:rsidR="002771E9">
              <w:rPr>
                <w:noProof/>
                <w:webHidden/>
              </w:rPr>
              <w:fldChar w:fldCharType="separate"/>
            </w:r>
            <w:r w:rsidR="002771E9">
              <w:rPr>
                <w:noProof/>
                <w:webHidden/>
              </w:rPr>
              <w:t>41</w:t>
            </w:r>
            <w:r w:rsidR="002771E9">
              <w:rPr>
                <w:noProof/>
                <w:webHidden/>
              </w:rPr>
              <w:fldChar w:fldCharType="end"/>
            </w:r>
          </w:hyperlink>
        </w:p>
        <w:p w14:paraId="75B38163" w14:textId="3A7A4AE0"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6" w:history="1">
            <w:r w:rsidR="002771E9" w:rsidRPr="009B22A1">
              <w:rPr>
                <w:rStyle w:val="Hyperlink"/>
                <w:noProof/>
                <w14:scene3d>
                  <w14:camera w14:prst="orthographicFront"/>
                  <w14:lightRig w14:rig="threePt" w14:dir="t">
                    <w14:rot w14:lat="0" w14:lon="0" w14:rev="0"/>
                  </w14:lightRig>
                </w14:scene3d>
              </w:rPr>
              <w:t>6.1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_Toc497934276 \h </w:instrText>
            </w:r>
            <w:r w:rsidR="002771E9">
              <w:rPr>
                <w:noProof/>
                <w:webHidden/>
              </w:rPr>
            </w:r>
            <w:r w:rsidR="002771E9">
              <w:rPr>
                <w:noProof/>
                <w:webHidden/>
              </w:rPr>
              <w:fldChar w:fldCharType="separate"/>
            </w:r>
            <w:r w:rsidR="002771E9">
              <w:rPr>
                <w:noProof/>
                <w:webHidden/>
              </w:rPr>
              <w:t>41</w:t>
            </w:r>
            <w:r w:rsidR="002771E9">
              <w:rPr>
                <w:noProof/>
                <w:webHidden/>
              </w:rPr>
              <w:fldChar w:fldCharType="end"/>
            </w:r>
          </w:hyperlink>
        </w:p>
        <w:p w14:paraId="0277B3C5" w14:textId="0C89E0DB"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7" w:history="1">
            <w:r w:rsidR="002771E9" w:rsidRPr="009B22A1">
              <w:rPr>
                <w:rStyle w:val="Hyperlink"/>
                <w:noProof/>
                <w14:scene3d>
                  <w14:camera w14:prst="orthographicFront"/>
                  <w14:lightRig w14:rig="threePt" w14:dir="t">
                    <w14:rot w14:lat="0" w14:lon="0" w14:rev="0"/>
                  </w14:lightRig>
                </w14:scene3d>
              </w:rPr>
              <w:t>6.2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Inputs</w:t>
            </w:r>
            <w:r w:rsidR="002771E9">
              <w:rPr>
                <w:noProof/>
                <w:webHidden/>
              </w:rPr>
              <w:tab/>
            </w:r>
            <w:r w:rsidR="002771E9">
              <w:rPr>
                <w:noProof/>
                <w:webHidden/>
              </w:rPr>
              <w:fldChar w:fldCharType="begin"/>
            </w:r>
            <w:r w:rsidR="002771E9">
              <w:rPr>
                <w:noProof/>
                <w:webHidden/>
              </w:rPr>
              <w:instrText xml:space="preserve"> PAGEREF _Toc497934277 \h </w:instrText>
            </w:r>
            <w:r w:rsidR="002771E9">
              <w:rPr>
                <w:noProof/>
                <w:webHidden/>
              </w:rPr>
            </w:r>
            <w:r w:rsidR="002771E9">
              <w:rPr>
                <w:noProof/>
                <w:webHidden/>
              </w:rPr>
              <w:fldChar w:fldCharType="separate"/>
            </w:r>
            <w:r w:rsidR="002771E9">
              <w:rPr>
                <w:noProof/>
                <w:webHidden/>
              </w:rPr>
              <w:t>41</w:t>
            </w:r>
            <w:r w:rsidR="002771E9">
              <w:rPr>
                <w:noProof/>
                <w:webHidden/>
              </w:rPr>
              <w:fldChar w:fldCharType="end"/>
            </w:r>
          </w:hyperlink>
        </w:p>
        <w:p w14:paraId="45384955" w14:textId="403B5FB1"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8" w:history="1">
            <w:r w:rsidR="002771E9" w:rsidRPr="009B22A1">
              <w:rPr>
                <w:rStyle w:val="Hyperlink"/>
                <w:noProof/>
                <w14:scene3d>
                  <w14:camera w14:prst="orthographicFront"/>
                  <w14:lightRig w14:rig="threePt" w14:dir="t">
                    <w14:rot w14:lat="0" w14:lon="0" w14:rev="0"/>
                  </w14:lightRig>
                </w14:scene3d>
              </w:rPr>
              <w:t>6.3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Outputs</w:t>
            </w:r>
            <w:r w:rsidR="002771E9">
              <w:rPr>
                <w:noProof/>
                <w:webHidden/>
              </w:rPr>
              <w:tab/>
            </w:r>
            <w:r w:rsidR="002771E9">
              <w:rPr>
                <w:noProof/>
                <w:webHidden/>
              </w:rPr>
              <w:fldChar w:fldCharType="begin"/>
            </w:r>
            <w:r w:rsidR="002771E9">
              <w:rPr>
                <w:noProof/>
                <w:webHidden/>
              </w:rPr>
              <w:instrText xml:space="preserve"> PAGEREF _Toc497934278 \h </w:instrText>
            </w:r>
            <w:r w:rsidR="002771E9">
              <w:rPr>
                <w:noProof/>
                <w:webHidden/>
              </w:rPr>
            </w:r>
            <w:r w:rsidR="002771E9">
              <w:rPr>
                <w:noProof/>
                <w:webHidden/>
              </w:rPr>
              <w:fldChar w:fldCharType="separate"/>
            </w:r>
            <w:r w:rsidR="002771E9">
              <w:rPr>
                <w:noProof/>
                <w:webHidden/>
              </w:rPr>
              <w:t>43</w:t>
            </w:r>
            <w:r w:rsidR="002771E9">
              <w:rPr>
                <w:noProof/>
                <w:webHidden/>
              </w:rPr>
              <w:fldChar w:fldCharType="end"/>
            </w:r>
          </w:hyperlink>
        </w:p>
        <w:p w14:paraId="1B6227A3" w14:textId="4F8AFF48"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79" w:history="1">
            <w:r w:rsidR="002771E9" w:rsidRPr="009B22A1">
              <w:rPr>
                <w:rStyle w:val="Hyperlink"/>
                <w:noProof/>
                <w14:scene3d>
                  <w14:camera w14:prst="orthographicFront"/>
                  <w14:lightRig w14:rig="threePt" w14:dir="t">
                    <w14:rot w14:lat="0" w14:lon="0" w14:rev="0"/>
                  </w14:lightRig>
                </w14:scene3d>
              </w:rPr>
              <w:t>6.4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Performance against the Evaluation Terms of Reference</w:t>
            </w:r>
            <w:r w:rsidR="002771E9">
              <w:rPr>
                <w:noProof/>
                <w:webHidden/>
              </w:rPr>
              <w:tab/>
            </w:r>
            <w:r w:rsidR="002771E9">
              <w:rPr>
                <w:noProof/>
                <w:webHidden/>
              </w:rPr>
              <w:fldChar w:fldCharType="begin"/>
            </w:r>
            <w:r w:rsidR="002771E9">
              <w:rPr>
                <w:noProof/>
                <w:webHidden/>
              </w:rPr>
              <w:instrText xml:space="preserve"> PAGEREF _Toc497934279 \h </w:instrText>
            </w:r>
            <w:r w:rsidR="002771E9">
              <w:rPr>
                <w:noProof/>
                <w:webHidden/>
              </w:rPr>
            </w:r>
            <w:r w:rsidR="002771E9">
              <w:rPr>
                <w:noProof/>
                <w:webHidden/>
              </w:rPr>
              <w:fldChar w:fldCharType="separate"/>
            </w:r>
            <w:r w:rsidR="002771E9">
              <w:rPr>
                <w:noProof/>
                <w:webHidden/>
              </w:rPr>
              <w:t>46</w:t>
            </w:r>
            <w:r w:rsidR="002771E9">
              <w:rPr>
                <w:noProof/>
                <w:webHidden/>
              </w:rPr>
              <w:fldChar w:fldCharType="end"/>
            </w:r>
          </w:hyperlink>
        </w:p>
        <w:p w14:paraId="1F9755F5" w14:textId="1CDDEA97"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0" w:history="1">
            <w:r w:rsidR="002771E9" w:rsidRPr="009B22A1">
              <w:rPr>
                <w:rStyle w:val="Hyperlink"/>
                <w:noProof/>
                <w14:scene3d>
                  <w14:camera w14:prst="orthographicFront"/>
                  <w14:lightRig w14:rig="threePt" w14:dir="t">
                    <w14:rot w14:lat="0" w14:lon="0" w14:rev="0"/>
                  </w14:lightRig>
                </w14:scene3d>
              </w:rPr>
              <w:t>6.5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Qualitative Findings / Case Studies</w:t>
            </w:r>
            <w:r w:rsidR="002771E9">
              <w:rPr>
                <w:noProof/>
                <w:webHidden/>
              </w:rPr>
              <w:tab/>
            </w:r>
            <w:r w:rsidR="002771E9">
              <w:rPr>
                <w:noProof/>
                <w:webHidden/>
              </w:rPr>
              <w:fldChar w:fldCharType="begin"/>
            </w:r>
            <w:r w:rsidR="002771E9">
              <w:rPr>
                <w:noProof/>
                <w:webHidden/>
              </w:rPr>
              <w:instrText xml:space="preserve"> PAGEREF _Toc497934280 \h </w:instrText>
            </w:r>
            <w:r w:rsidR="002771E9">
              <w:rPr>
                <w:noProof/>
                <w:webHidden/>
              </w:rPr>
            </w:r>
            <w:r w:rsidR="002771E9">
              <w:rPr>
                <w:noProof/>
                <w:webHidden/>
              </w:rPr>
              <w:fldChar w:fldCharType="separate"/>
            </w:r>
            <w:r w:rsidR="002771E9">
              <w:rPr>
                <w:noProof/>
                <w:webHidden/>
              </w:rPr>
              <w:t>57</w:t>
            </w:r>
            <w:r w:rsidR="002771E9">
              <w:rPr>
                <w:noProof/>
                <w:webHidden/>
              </w:rPr>
              <w:fldChar w:fldCharType="end"/>
            </w:r>
          </w:hyperlink>
        </w:p>
        <w:p w14:paraId="0BC96542" w14:textId="39A2D5F1"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1" w:history="1">
            <w:r w:rsidR="002771E9" w:rsidRPr="009B22A1">
              <w:rPr>
                <w:rStyle w:val="Hyperlink"/>
                <w:noProof/>
                <w14:scene3d>
                  <w14:camera w14:prst="orthographicFront"/>
                  <w14:lightRig w14:rig="threePt" w14:dir="t">
                    <w14:rot w14:lat="0" w14:lon="0" w14:rev="0"/>
                  </w14:lightRig>
                </w14:scene3d>
              </w:rPr>
              <w:t>6.6</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Conclusion</w:t>
            </w:r>
            <w:r w:rsidR="002771E9">
              <w:rPr>
                <w:noProof/>
                <w:webHidden/>
              </w:rPr>
              <w:tab/>
            </w:r>
            <w:r w:rsidR="002771E9">
              <w:rPr>
                <w:noProof/>
                <w:webHidden/>
              </w:rPr>
              <w:fldChar w:fldCharType="begin"/>
            </w:r>
            <w:r w:rsidR="002771E9">
              <w:rPr>
                <w:noProof/>
                <w:webHidden/>
              </w:rPr>
              <w:instrText xml:space="preserve"> PAGEREF _Toc497934281 \h </w:instrText>
            </w:r>
            <w:r w:rsidR="002771E9">
              <w:rPr>
                <w:noProof/>
                <w:webHidden/>
              </w:rPr>
            </w:r>
            <w:r w:rsidR="002771E9">
              <w:rPr>
                <w:noProof/>
                <w:webHidden/>
              </w:rPr>
              <w:fldChar w:fldCharType="separate"/>
            </w:r>
            <w:r w:rsidR="002771E9">
              <w:rPr>
                <w:noProof/>
                <w:webHidden/>
              </w:rPr>
              <w:t>62</w:t>
            </w:r>
            <w:r w:rsidR="002771E9">
              <w:rPr>
                <w:noProof/>
                <w:webHidden/>
              </w:rPr>
              <w:fldChar w:fldCharType="end"/>
            </w:r>
          </w:hyperlink>
        </w:p>
        <w:p w14:paraId="483E52DE" w14:textId="44A45B19"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82" w:history="1">
            <w:r w:rsidR="002771E9" w:rsidRPr="009B22A1">
              <w:rPr>
                <w:rStyle w:val="Hyperlink"/>
                <w:noProof/>
              </w:rPr>
              <w:t>7</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Stakeholder Feedback</w:t>
            </w:r>
            <w:r w:rsidR="002771E9">
              <w:rPr>
                <w:noProof/>
                <w:webHidden/>
              </w:rPr>
              <w:tab/>
            </w:r>
            <w:r w:rsidR="002771E9">
              <w:rPr>
                <w:noProof/>
                <w:webHidden/>
              </w:rPr>
              <w:fldChar w:fldCharType="begin"/>
            </w:r>
            <w:r w:rsidR="002771E9">
              <w:rPr>
                <w:noProof/>
                <w:webHidden/>
              </w:rPr>
              <w:instrText xml:space="preserve"> PAGEREF _Toc497934282 \h </w:instrText>
            </w:r>
            <w:r w:rsidR="002771E9">
              <w:rPr>
                <w:noProof/>
                <w:webHidden/>
              </w:rPr>
            </w:r>
            <w:r w:rsidR="002771E9">
              <w:rPr>
                <w:noProof/>
                <w:webHidden/>
              </w:rPr>
              <w:fldChar w:fldCharType="separate"/>
            </w:r>
            <w:r w:rsidR="002771E9">
              <w:rPr>
                <w:noProof/>
                <w:webHidden/>
              </w:rPr>
              <w:t>64</w:t>
            </w:r>
            <w:r w:rsidR="002771E9">
              <w:rPr>
                <w:noProof/>
                <w:webHidden/>
              </w:rPr>
              <w:fldChar w:fldCharType="end"/>
            </w:r>
          </w:hyperlink>
        </w:p>
        <w:p w14:paraId="19FDE9D7" w14:textId="21B47BAC"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3" w:history="1">
            <w:r w:rsidR="002771E9" w:rsidRPr="009B22A1">
              <w:rPr>
                <w:rStyle w:val="Hyperlink"/>
                <w:noProof/>
                <w14:scene3d>
                  <w14:camera w14:prst="orthographicFront"/>
                  <w14:lightRig w14:rig="threePt" w14:dir="t">
                    <w14:rot w14:lat="0" w14:lon="0" w14:rev="0"/>
                  </w14:lightRig>
                </w14:scene3d>
              </w:rPr>
              <w:t>7.1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_Toc497934283 \h </w:instrText>
            </w:r>
            <w:r w:rsidR="002771E9">
              <w:rPr>
                <w:noProof/>
                <w:webHidden/>
              </w:rPr>
            </w:r>
            <w:r w:rsidR="002771E9">
              <w:rPr>
                <w:noProof/>
                <w:webHidden/>
              </w:rPr>
              <w:fldChar w:fldCharType="separate"/>
            </w:r>
            <w:r w:rsidR="002771E9">
              <w:rPr>
                <w:noProof/>
                <w:webHidden/>
              </w:rPr>
              <w:t>64</w:t>
            </w:r>
            <w:r w:rsidR="002771E9">
              <w:rPr>
                <w:noProof/>
                <w:webHidden/>
              </w:rPr>
              <w:fldChar w:fldCharType="end"/>
            </w:r>
          </w:hyperlink>
        </w:p>
        <w:p w14:paraId="3D0092C1" w14:textId="0046E10B"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4" w:history="1">
            <w:r w:rsidR="002771E9" w:rsidRPr="009B22A1">
              <w:rPr>
                <w:rStyle w:val="Hyperlink"/>
                <w:noProof/>
                <w14:scene3d>
                  <w14:camera w14:prst="orthographicFront"/>
                  <w14:lightRig w14:rig="threePt" w14:dir="t">
                    <w14:rot w14:lat="0" w14:lon="0" w14:rev="0"/>
                  </w14:lightRig>
                </w14:scene3d>
              </w:rPr>
              <w:t>7.2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Worked Well</w:t>
            </w:r>
            <w:r w:rsidR="002771E9">
              <w:rPr>
                <w:noProof/>
                <w:webHidden/>
              </w:rPr>
              <w:tab/>
            </w:r>
            <w:r w:rsidR="002771E9">
              <w:rPr>
                <w:noProof/>
                <w:webHidden/>
              </w:rPr>
              <w:fldChar w:fldCharType="begin"/>
            </w:r>
            <w:r w:rsidR="002771E9">
              <w:rPr>
                <w:noProof/>
                <w:webHidden/>
              </w:rPr>
              <w:instrText xml:space="preserve"> PAGEREF _Toc497934284 \h </w:instrText>
            </w:r>
            <w:r w:rsidR="002771E9">
              <w:rPr>
                <w:noProof/>
                <w:webHidden/>
              </w:rPr>
            </w:r>
            <w:r w:rsidR="002771E9">
              <w:rPr>
                <w:noProof/>
                <w:webHidden/>
              </w:rPr>
              <w:fldChar w:fldCharType="separate"/>
            </w:r>
            <w:r w:rsidR="002771E9">
              <w:rPr>
                <w:noProof/>
                <w:webHidden/>
              </w:rPr>
              <w:t>64</w:t>
            </w:r>
            <w:r w:rsidR="002771E9">
              <w:rPr>
                <w:noProof/>
                <w:webHidden/>
              </w:rPr>
              <w:fldChar w:fldCharType="end"/>
            </w:r>
          </w:hyperlink>
        </w:p>
        <w:p w14:paraId="5A0AD20D" w14:textId="4E77578E"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5" w:history="1">
            <w:r w:rsidR="002771E9" w:rsidRPr="009B22A1">
              <w:rPr>
                <w:rStyle w:val="Hyperlink"/>
                <w:noProof/>
                <w14:scene3d>
                  <w14:camera w14:prst="orthographicFront"/>
                  <w14:lightRig w14:rig="threePt" w14:dir="t">
                    <w14:rot w14:lat="0" w14:lon="0" w14:rev="0"/>
                  </w14:lightRig>
                </w14:scene3d>
              </w:rPr>
              <w:t>7.3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Areas for Development</w:t>
            </w:r>
            <w:r w:rsidR="002771E9">
              <w:rPr>
                <w:noProof/>
                <w:webHidden/>
              </w:rPr>
              <w:tab/>
            </w:r>
            <w:r w:rsidR="002771E9">
              <w:rPr>
                <w:noProof/>
                <w:webHidden/>
              </w:rPr>
              <w:fldChar w:fldCharType="begin"/>
            </w:r>
            <w:r w:rsidR="002771E9">
              <w:rPr>
                <w:noProof/>
                <w:webHidden/>
              </w:rPr>
              <w:instrText xml:space="preserve"> PAGEREF _Toc497934285 \h </w:instrText>
            </w:r>
            <w:r w:rsidR="002771E9">
              <w:rPr>
                <w:noProof/>
                <w:webHidden/>
              </w:rPr>
            </w:r>
            <w:r w:rsidR="002771E9">
              <w:rPr>
                <w:noProof/>
                <w:webHidden/>
              </w:rPr>
              <w:fldChar w:fldCharType="separate"/>
            </w:r>
            <w:r w:rsidR="002771E9">
              <w:rPr>
                <w:noProof/>
                <w:webHidden/>
              </w:rPr>
              <w:t>65</w:t>
            </w:r>
            <w:r w:rsidR="002771E9">
              <w:rPr>
                <w:noProof/>
                <w:webHidden/>
              </w:rPr>
              <w:fldChar w:fldCharType="end"/>
            </w:r>
          </w:hyperlink>
        </w:p>
        <w:p w14:paraId="6C2911B0" w14:textId="692E3706"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6" w:history="1">
            <w:r w:rsidR="002771E9" w:rsidRPr="009B22A1">
              <w:rPr>
                <w:rStyle w:val="Hyperlink"/>
                <w:noProof/>
                <w14:scene3d>
                  <w14:camera w14:prst="orthographicFront"/>
                  <w14:lightRig w14:rig="threePt" w14:dir="t">
                    <w14:rot w14:lat="0" w14:lon="0" w14:rev="0"/>
                  </w14:lightRig>
                </w14:scene3d>
              </w:rPr>
              <w:t>7.4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Impacts</w:t>
            </w:r>
            <w:r w:rsidR="002771E9">
              <w:rPr>
                <w:noProof/>
                <w:webHidden/>
              </w:rPr>
              <w:tab/>
            </w:r>
            <w:r w:rsidR="002771E9">
              <w:rPr>
                <w:noProof/>
                <w:webHidden/>
              </w:rPr>
              <w:fldChar w:fldCharType="begin"/>
            </w:r>
            <w:r w:rsidR="002771E9">
              <w:rPr>
                <w:noProof/>
                <w:webHidden/>
              </w:rPr>
              <w:instrText xml:space="preserve"> PAGEREF _Toc497934286 \h </w:instrText>
            </w:r>
            <w:r w:rsidR="002771E9">
              <w:rPr>
                <w:noProof/>
                <w:webHidden/>
              </w:rPr>
            </w:r>
            <w:r w:rsidR="002771E9">
              <w:rPr>
                <w:noProof/>
                <w:webHidden/>
              </w:rPr>
              <w:fldChar w:fldCharType="separate"/>
            </w:r>
            <w:r w:rsidR="002771E9">
              <w:rPr>
                <w:noProof/>
                <w:webHidden/>
              </w:rPr>
              <w:t>66</w:t>
            </w:r>
            <w:r w:rsidR="002771E9">
              <w:rPr>
                <w:noProof/>
                <w:webHidden/>
              </w:rPr>
              <w:fldChar w:fldCharType="end"/>
            </w:r>
          </w:hyperlink>
        </w:p>
        <w:p w14:paraId="7E988C63" w14:textId="7A643B56"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7" w:history="1">
            <w:r w:rsidR="002771E9" w:rsidRPr="009B22A1">
              <w:rPr>
                <w:rStyle w:val="Hyperlink"/>
                <w:noProof/>
                <w14:scene3d>
                  <w14:camera w14:prst="orthographicFront"/>
                  <w14:lightRig w14:rig="threePt" w14:dir="t">
                    <w14:rot w14:lat="0" w14:lon="0" w14:rev="0"/>
                  </w14:lightRig>
                </w14:scene3d>
              </w:rPr>
              <w:t>7.5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Shared Learning</w:t>
            </w:r>
            <w:r w:rsidR="002771E9">
              <w:rPr>
                <w:noProof/>
                <w:webHidden/>
              </w:rPr>
              <w:tab/>
            </w:r>
            <w:r w:rsidR="002771E9">
              <w:rPr>
                <w:noProof/>
                <w:webHidden/>
              </w:rPr>
              <w:fldChar w:fldCharType="begin"/>
            </w:r>
            <w:r w:rsidR="002771E9">
              <w:rPr>
                <w:noProof/>
                <w:webHidden/>
              </w:rPr>
              <w:instrText xml:space="preserve"> PAGEREF _Toc497934287 \h </w:instrText>
            </w:r>
            <w:r w:rsidR="002771E9">
              <w:rPr>
                <w:noProof/>
                <w:webHidden/>
              </w:rPr>
            </w:r>
            <w:r w:rsidR="002771E9">
              <w:rPr>
                <w:noProof/>
                <w:webHidden/>
              </w:rPr>
              <w:fldChar w:fldCharType="separate"/>
            </w:r>
            <w:r w:rsidR="002771E9">
              <w:rPr>
                <w:noProof/>
                <w:webHidden/>
              </w:rPr>
              <w:t>69</w:t>
            </w:r>
            <w:r w:rsidR="002771E9">
              <w:rPr>
                <w:noProof/>
                <w:webHidden/>
              </w:rPr>
              <w:fldChar w:fldCharType="end"/>
            </w:r>
          </w:hyperlink>
        </w:p>
        <w:p w14:paraId="3D4EB11E" w14:textId="676B1619"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88" w:history="1">
            <w:r w:rsidR="002771E9" w:rsidRPr="009B22A1">
              <w:rPr>
                <w:rStyle w:val="Hyperlink"/>
                <w:noProof/>
                <w14:scene3d>
                  <w14:camera w14:prst="orthographicFront"/>
                  <w14:lightRig w14:rig="threePt" w14:dir="t">
                    <w14:rot w14:lat="0" w14:lon="0" w14:rev="0"/>
                  </w14:lightRig>
                </w14:scene3d>
              </w:rPr>
              <w:t>7.6</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Conclusion</w:t>
            </w:r>
            <w:r w:rsidR="002771E9">
              <w:rPr>
                <w:noProof/>
                <w:webHidden/>
              </w:rPr>
              <w:tab/>
            </w:r>
            <w:r w:rsidR="002771E9">
              <w:rPr>
                <w:noProof/>
                <w:webHidden/>
              </w:rPr>
              <w:fldChar w:fldCharType="begin"/>
            </w:r>
            <w:r w:rsidR="002771E9">
              <w:rPr>
                <w:noProof/>
                <w:webHidden/>
              </w:rPr>
              <w:instrText xml:space="preserve"> PAGEREF _Toc497934288 \h </w:instrText>
            </w:r>
            <w:r w:rsidR="002771E9">
              <w:rPr>
                <w:noProof/>
                <w:webHidden/>
              </w:rPr>
            </w:r>
            <w:r w:rsidR="002771E9">
              <w:rPr>
                <w:noProof/>
                <w:webHidden/>
              </w:rPr>
              <w:fldChar w:fldCharType="separate"/>
            </w:r>
            <w:r w:rsidR="002771E9">
              <w:rPr>
                <w:noProof/>
                <w:webHidden/>
              </w:rPr>
              <w:t>70</w:t>
            </w:r>
            <w:r w:rsidR="002771E9">
              <w:rPr>
                <w:noProof/>
                <w:webHidden/>
              </w:rPr>
              <w:fldChar w:fldCharType="end"/>
            </w:r>
          </w:hyperlink>
        </w:p>
        <w:p w14:paraId="0EEDAF2F" w14:textId="240BC737"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89" w:history="1">
            <w:r w:rsidR="002771E9" w:rsidRPr="009B22A1">
              <w:rPr>
                <w:rStyle w:val="Hyperlink"/>
                <w:noProof/>
              </w:rPr>
              <w:t>8</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Costs / Cost Avoidance and Cost Effectiveness</w:t>
            </w:r>
            <w:r w:rsidR="002771E9">
              <w:rPr>
                <w:noProof/>
                <w:webHidden/>
              </w:rPr>
              <w:tab/>
            </w:r>
            <w:r w:rsidR="002771E9">
              <w:rPr>
                <w:noProof/>
                <w:webHidden/>
              </w:rPr>
              <w:fldChar w:fldCharType="begin"/>
            </w:r>
            <w:r w:rsidR="002771E9">
              <w:rPr>
                <w:noProof/>
                <w:webHidden/>
              </w:rPr>
              <w:instrText xml:space="preserve"> PAGEREF _Toc497934289 \h </w:instrText>
            </w:r>
            <w:r w:rsidR="002771E9">
              <w:rPr>
                <w:noProof/>
                <w:webHidden/>
              </w:rPr>
            </w:r>
            <w:r w:rsidR="002771E9">
              <w:rPr>
                <w:noProof/>
                <w:webHidden/>
              </w:rPr>
              <w:fldChar w:fldCharType="separate"/>
            </w:r>
            <w:r w:rsidR="002771E9">
              <w:rPr>
                <w:noProof/>
                <w:webHidden/>
              </w:rPr>
              <w:t>72</w:t>
            </w:r>
            <w:r w:rsidR="002771E9">
              <w:rPr>
                <w:noProof/>
                <w:webHidden/>
              </w:rPr>
              <w:fldChar w:fldCharType="end"/>
            </w:r>
          </w:hyperlink>
        </w:p>
        <w:p w14:paraId="4F664509" w14:textId="6E6B0AB0"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0" w:history="1">
            <w:r w:rsidR="002771E9" w:rsidRPr="009B22A1">
              <w:rPr>
                <w:rStyle w:val="Hyperlink"/>
                <w:noProof/>
                <w14:scene3d>
                  <w14:camera w14:prst="orthographicFront"/>
                  <w14:lightRig w14:rig="threePt" w14:dir="t">
                    <w14:rot w14:lat="0" w14:lon="0" w14:rev="0"/>
                  </w14:lightRig>
                </w14:scene3d>
              </w:rPr>
              <w:t>8.1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_Toc497934290 \h </w:instrText>
            </w:r>
            <w:r w:rsidR="002771E9">
              <w:rPr>
                <w:noProof/>
                <w:webHidden/>
              </w:rPr>
            </w:r>
            <w:r w:rsidR="002771E9">
              <w:rPr>
                <w:noProof/>
                <w:webHidden/>
              </w:rPr>
              <w:fldChar w:fldCharType="separate"/>
            </w:r>
            <w:r w:rsidR="002771E9">
              <w:rPr>
                <w:noProof/>
                <w:webHidden/>
              </w:rPr>
              <w:t>72</w:t>
            </w:r>
            <w:r w:rsidR="002771E9">
              <w:rPr>
                <w:noProof/>
                <w:webHidden/>
              </w:rPr>
              <w:fldChar w:fldCharType="end"/>
            </w:r>
          </w:hyperlink>
        </w:p>
        <w:p w14:paraId="2173557E" w14:textId="46E6F63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1" w:history="1">
            <w:r w:rsidR="002771E9" w:rsidRPr="009B22A1">
              <w:rPr>
                <w:rStyle w:val="Hyperlink"/>
                <w:noProof/>
                <w14:scene3d>
                  <w14:camera w14:prst="orthographicFront"/>
                  <w14:lightRig w14:rig="threePt" w14:dir="t">
                    <w14:rot w14:lat="0" w14:lon="0" w14:rev="0"/>
                  </w14:lightRig>
                </w14:scene3d>
              </w:rPr>
              <w:t>8.2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Project Budget / Spend</w:t>
            </w:r>
            <w:r w:rsidR="002771E9">
              <w:rPr>
                <w:noProof/>
                <w:webHidden/>
              </w:rPr>
              <w:tab/>
            </w:r>
            <w:r w:rsidR="002771E9">
              <w:rPr>
                <w:noProof/>
                <w:webHidden/>
              </w:rPr>
              <w:fldChar w:fldCharType="begin"/>
            </w:r>
            <w:r w:rsidR="002771E9">
              <w:rPr>
                <w:noProof/>
                <w:webHidden/>
              </w:rPr>
              <w:instrText xml:space="preserve"> PAGEREF _Toc497934291 \h </w:instrText>
            </w:r>
            <w:r w:rsidR="002771E9">
              <w:rPr>
                <w:noProof/>
                <w:webHidden/>
              </w:rPr>
            </w:r>
            <w:r w:rsidR="002771E9">
              <w:rPr>
                <w:noProof/>
                <w:webHidden/>
              </w:rPr>
              <w:fldChar w:fldCharType="separate"/>
            </w:r>
            <w:r w:rsidR="002771E9">
              <w:rPr>
                <w:noProof/>
                <w:webHidden/>
              </w:rPr>
              <w:t>72</w:t>
            </w:r>
            <w:r w:rsidR="002771E9">
              <w:rPr>
                <w:noProof/>
                <w:webHidden/>
              </w:rPr>
              <w:fldChar w:fldCharType="end"/>
            </w:r>
          </w:hyperlink>
        </w:p>
        <w:p w14:paraId="60A399D7" w14:textId="11518510"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2" w:history="1">
            <w:r w:rsidR="002771E9" w:rsidRPr="009B22A1">
              <w:rPr>
                <w:rStyle w:val="Hyperlink"/>
                <w:noProof/>
                <w14:scene3d>
                  <w14:camera w14:prst="orthographicFront"/>
                  <w14:lightRig w14:rig="threePt" w14:dir="t">
                    <w14:rot w14:lat="0" w14:lon="0" w14:rev="0"/>
                  </w14:lightRig>
                </w14:scene3d>
              </w:rPr>
              <w:t>8.3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Value for Money</w:t>
            </w:r>
            <w:r w:rsidR="002771E9">
              <w:rPr>
                <w:noProof/>
                <w:webHidden/>
              </w:rPr>
              <w:tab/>
            </w:r>
            <w:r w:rsidR="002771E9">
              <w:rPr>
                <w:noProof/>
                <w:webHidden/>
              </w:rPr>
              <w:fldChar w:fldCharType="begin"/>
            </w:r>
            <w:r w:rsidR="002771E9">
              <w:rPr>
                <w:noProof/>
                <w:webHidden/>
              </w:rPr>
              <w:instrText xml:space="preserve"> PAGEREF _Toc497934292 \h </w:instrText>
            </w:r>
            <w:r w:rsidR="002771E9">
              <w:rPr>
                <w:noProof/>
                <w:webHidden/>
              </w:rPr>
            </w:r>
            <w:r w:rsidR="002771E9">
              <w:rPr>
                <w:noProof/>
                <w:webHidden/>
              </w:rPr>
              <w:fldChar w:fldCharType="separate"/>
            </w:r>
            <w:r w:rsidR="002771E9">
              <w:rPr>
                <w:noProof/>
                <w:webHidden/>
              </w:rPr>
              <w:t>74</w:t>
            </w:r>
            <w:r w:rsidR="002771E9">
              <w:rPr>
                <w:noProof/>
                <w:webHidden/>
              </w:rPr>
              <w:fldChar w:fldCharType="end"/>
            </w:r>
          </w:hyperlink>
        </w:p>
        <w:p w14:paraId="7F51A97D" w14:textId="5D4500B1"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3" w:history="1">
            <w:r w:rsidR="002771E9" w:rsidRPr="009B22A1">
              <w:rPr>
                <w:rStyle w:val="Hyperlink"/>
                <w:noProof/>
                <w14:scene3d>
                  <w14:camera w14:prst="orthographicFront"/>
                  <w14:lightRig w14:rig="threePt" w14:dir="t">
                    <w14:rot w14:lat="0" w14:lon="0" w14:rev="0"/>
                  </w14:lightRig>
                </w14:scene3d>
              </w:rPr>
              <w:t>8.4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Cost Avoidance</w:t>
            </w:r>
            <w:r w:rsidR="002771E9">
              <w:rPr>
                <w:noProof/>
                <w:webHidden/>
              </w:rPr>
              <w:tab/>
            </w:r>
            <w:r w:rsidR="002771E9">
              <w:rPr>
                <w:noProof/>
                <w:webHidden/>
              </w:rPr>
              <w:fldChar w:fldCharType="begin"/>
            </w:r>
            <w:r w:rsidR="002771E9">
              <w:rPr>
                <w:noProof/>
                <w:webHidden/>
              </w:rPr>
              <w:instrText xml:space="preserve"> PAGEREF _Toc497934293 \h </w:instrText>
            </w:r>
            <w:r w:rsidR="002771E9">
              <w:rPr>
                <w:noProof/>
                <w:webHidden/>
              </w:rPr>
            </w:r>
            <w:r w:rsidR="002771E9">
              <w:rPr>
                <w:noProof/>
                <w:webHidden/>
              </w:rPr>
              <w:fldChar w:fldCharType="separate"/>
            </w:r>
            <w:r w:rsidR="002771E9">
              <w:rPr>
                <w:noProof/>
                <w:webHidden/>
              </w:rPr>
              <w:t>77</w:t>
            </w:r>
            <w:r w:rsidR="002771E9">
              <w:rPr>
                <w:noProof/>
                <w:webHidden/>
              </w:rPr>
              <w:fldChar w:fldCharType="end"/>
            </w:r>
          </w:hyperlink>
        </w:p>
        <w:p w14:paraId="7AE01F30" w14:textId="3A123CE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4" w:history="1">
            <w:r w:rsidR="002771E9" w:rsidRPr="009B22A1">
              <w:rPr>
                <w:rStyle w:val="Hyperlink"/>
                <w:noProof/>
                <w14:scene3d>
                  <w14:camera w14:prst="orthographicFront"/>
                  <w14:lightRig w14:rig="threePt" w14:dir="t">
                    <w14:rot w14:lat="0" w14:lon="0" w14:rev="0"/>
                  </w14:lightRig>
                </w14:scene3d>
              </w:rPr>
              <w:t>8.5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Estimated Cost Avoidance for Entire Programme</w:t>
            </w:r>
            <w:r w:rsidR="002771E9">
              <w:rPr>
                <w:noProof/>
                <w:webHidden/>
              </w:rPr>
              <w:tab/>
            </w:r>
            <w:r w:rsidR="002771E9">
              <w:rPr>
                <w:noProof/>
                <w:webHidden/>
              </w:rPr>
              <w:fldChar w:fldCharType="begin"/>
            </w:r>
            <w:r w:rsidR="002771E9">
              <w:rPr>
                <w:noProof/>
                <w:webHidden/>
              </w:rPr>
              <w:instrText xml:space="preserve"> PAGEREF _Toc497934294 \h </w:instrText>
            </w:r>
            <w:r w:rsidR="002771E9">
              <w:rPr>
                <w:noProof/>
                <w:webHidden/>
              </w:rPr>
            </w:r>
            <w:r w:rsidR="002771E9">
              <w:rPr>
                <w:noProof/>
                <w:webHidden/>
              </w:rPr>
              <w:fldChar w:fldCharType="separate"/>
            </w:r>
            <w:r w:rsidR="002771E9">
              <w:rPr>
                <w:noProof/>
                <w:webHidden/>
              </w:rPr>
              <w:t>82</w:t>
            </w:r>
            <w:r w:rsidR="002771E9">
              <w:rPr>
                <w:noProof/>
                <w:webHidden/>
              </w:rPr>
              <w:fldChar w:fldCharType="end"/>
            </w:r>
          </w:hyperlink>
        </w:p>
        <w:p w14:paraId="03195B2B" w14:textId="563DD807"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5" w:history="1">
            <w:r w:rsidR="002771E9" w:rsidRPr="009B22A1">
              <w:rPr>
                <w:rStyle w:val="Hyperlink"/>
                <w:noProof/>
                <w14:scene3d>
                  <w14:camera w14:prst="orthographicFront"/>
                  <w14:lightRig w14:rig="threePt" w14:dir="t">
                    <w14:rot w14:lat="0" w14:lon="0" w14:rev="0"/>
                  </w14:lightRig>
                </w14:scene3d>
              </w:rPr>
              <w:t>8.6</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Cost Effectiveness</w:t>
            </w:r>
            <w:r w:rsidR="002771E9">
              <w:rPr>
                <w:noProof/>
                <w:webHidden/>
              </w:rPr>
              <w:tab/>
            </w:r>
            <w:r w:rsidR="002771E9">
              <w:rPr>
                <w:noProof/>
                <w:webHidden/>
              </w:rPr>
              <w:fldChar w:fldCharType="begin"/>
            </w:r>
            <w:r w:rsidR="002771E9">
              <w:rPr>
                <w:noProof/>
                <w:webHidden/>
              </w:rPr>
              <w:instrText xml:space="preserve"> PAGEREF _Toc497934295 \h </w:instrText>
            </w:r>
            <w:r w:rsidR="002771E9">
              <w:rPr>
                <w:noProof/>
                <w:webHidden/>
              </w:rPr>
            </w:r>
            <w:r w:rsidR="002771E9">
              <w:rPr>
                <w:noProof/>
                <w:webHidden/>
              </w:rPr>
              <w:fldChar w:fldCharType="separate"/>
            </w:r>
            <w:r w:rsidR="002771E9">
              <w:rPr>
                <w:noProof/>
                <w:webHidden/>
              </w:rPr>
              <w:t>86</w:t>
            </w:r>
            <w:r w:rsidR="002771E9">
              <w:rPr>
                <w:noProof/>
                <w:webHidden/>
              </w:rPr>
              <w:fldChar w:fldCharType="end"/>
            </w:r>
          </w:hyperlink>
        </w:p>
        <w:p w14:paraId="7ECB354B" w14:textId="52B9CF30"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6" w:history="1">
            <w:r w:rsidR="002771E9" w:rsidRPr="009B22A1">
              <w:rPr>
                <w:rStyle w:val="Hyperlink"/>
                <w:noProof/>
                <w14:scene3d>
                  <w14:camera w14:prst="orthographicFront"/>
                  <w14:lightRig w14:rig="threePt" w14:dir="t">
                    <w14:rot w14:lat="0" w14:lon="0" w14:rev="0"/>
                  </w14:lightRig>
                </w14:scene3d>
              </w:rPr>
              <w:t>8.7</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Return on Investment</w:t>
            </w:r>
            <w:r w:rsidR="002771E9">
              <w:rPr>
                <w:noProof/>
                <w:webHidden/>
              </w:rPr>
              <w:tab/>
            </w:r>
            <w:r w:rsidR="002771E9">
              <w:rPr>
                <w:noProof/>
                <w:webHidden/>
              </w:rPr>
              <w:fldChar w:fldCharType="begin"/>
            </w:r>
            <w:r w:rsidR="002771E9">
              <w:rPr>
                <w:noProof/>
                <w:webHidden/>
              </w:rPr>
              <w:instrText xml:space="preserve"> PAGEREF _Toc497934296 \h </w:instrText>
            </w:r>
            <w:r w:rsidR="002771E9">
              <w:rPr>
                <w:noProof/>
                <w:webHidden/>
              </w:rPr>
            </w:r>
            <w:r w:rsidR="002771E9">
              <w:rPr>
                <w:noProof/>
                <w:webHidden/>
              </w:rPr>
              <w:fldChar w:fldCharType="separate"/>
            </w:r>
            <w:r w:rsidR="002771E9">
              <w:rPr>
                <w:noProof/>
                <w:webHidden/>
              </w:rPr>
              <w:t>89</w:t>
            </w:r>
            <w:r w:rsidR="002771E9">
              <w:rPr>
                <w:noProof/>
                <w:webHidden/>
              </w:rPr>
              <w:fldChar w:fldCharType="end"/>
            </w:r>
          </w:hyperlink>
        </w:p>
        <w:p w14:paraId="54C872B0" w14:textId="76AEF14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7" w:history="1">
            <w:r w:rsidR="002771E9" w:rsidRPr="009B22A1">
              <w:rPr>
                <w:rStyle w:val="Hyperlink"/>
                <w:noProof/>
                <w14:scene3d>
                  <w14:camera w14:prst="orthographicFront"/>
                  <w14:lightRig w14:rig="threePt" w14:dir="t">
                    <w14:rot w14:lat="0" w14:lon="0" w14:rev="0"/>
                  </w14:lightRig>
                </w14:scene3d>
              </w:rPr>
              <w:t>8.8</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Conclusion</w:t>
            </w:r>
            <w:r w:rsidR="002771E9">
              <w:rPr>
                <w:noProof/>
                <w:webHidden/>
              </w:rPr>
              <w:tab/>
            </w:r>
            <w:r w:rsidR="002771E9">
              <w:rPr>
                <w:noProof/>
                <w:webHidden/>
              </w:rPr>
              <w:fldChar w:fldCharType="begin"/>
            </w:r>
            <w:r w:rsidR="002771E9">
              <w:rPr>
                <w:noProof/>
                <w:webHidden/>
              </w:rPr>
              <w:instrText xml:space="preserve"> PAGEREF _Toc497934297 \h </w:instrText>
            </w:r>
            <w:r w:rsidR="002771E9">
              <w:rPr>
                <w:noProof/>
                <w:webHidden/>
              </w:rPr>
            </w:r>
            <w:r w:rsidR="002771E9">
              <w:rPr>
                <w:noProof/>
                <w:webHidden/>
              </w:rPr>
              <w:fldChar w:fldCharType="separate"/>
            </w:r>
            <w:r w:rsidR="002771E9">
              <w:rPr>
                <w:noProof/>
                <w:webHidden/>
              </w:rPr>
              <w:t>90</w:t>
            </w:r>
            <w:r w:rsidR="002771E9">
              <w:rPr>
                <w:noProof/>
                <w:webHidden/>
              </w:rPr>
              <w:fldChar w:fldCharType="end"/>
            </w:r>
          </w:hyperlink>
        </w:p>
        <w:p w14:paraId="28E49ED5" w14:textId="5B135553" w:rsidR="002771E9" w:rsidRDefault="00160C04">
          <w:pPr>
            <w:pStyle w:val="TOC1"/>
            <w:tabs>
              <w:tab w:val="left" w:pos="440"/>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298" w:history="1">
            <w:r w:rsidR="002771E9" w:rsidRPr="009B22A1">
              <w:rPr>
                <w:rStyle w:val="Hyperlink"/>
                <w:noProof/>
              </w:rPr>
              <w:t>9</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Progress against Interim Report Recommendations</w:t>
            </w:r>
            <w:r w:rsidR="002771E9">
              <w:rPr>
                <w:noProof/>
                <w:webHidden/>
              </w:rPr>
              <w:tab/>
            </w:r>
            <w:r w:rsidR="002771E9">
              <w:rPr>
                <w:noProof/>
                <w:webHidden/>
              </w:rPr>
              <w:fldChar w:fldCharType="begin"/>
            </w:r>
            <w:r w:rsidR="002771E9">
              <w:rPr>
                <w:noProof/>
                <w:webHidden/>
              </w:rPr>
              <w:instrText xml:space="preserve"> PAGEREF _Toc497934298 \h </w:instrText>
            </w:r>
            <w:r w:rsidR="002771E9">
              <w:rPr>
                <w:noProof/>
                <w:webHidden/>
              </w:rPr>
            </w:r>
            <w:r w:rsidR="002771E9">
              <w:rPr>
                <w:noProof/>
                <w:webHidden/>
              </w:rPr>
              <w:fldChar w:fldCharType="separate"/>
            </w:r>
            <w:r w:rsidR="002771E9">
              <w:rPr>
                <w:noProof/>
                <w:webHidden/>
              </w:rPr>
              <w:t>92</w:t>
            </w:r>
            <w:r w:rsidR="002771E9">
              <w:rPr>
                <w:noProof/>
                <w:webHidden/>
              </w:rPr>
              <w:fldChar w:fldCharType="end"/>
            </w:r>
          </w:hyperlink>
        </w:p>
        <w:p w14:paraId="65AE2380" w14:textId="79D75504" w:rsidR="002771E9" w:rsidRDefault="00160C04">
          <w:pPr>
            <w:pStyle w:val="TOC2"/>
            <w:rPr>
              <w:rFonts w:asciiTheme="minorHAnsi" w:eastAsiaTheme="minorEastAsia" w:hAnsiTheme="minorHAnsi" w:cstheme="minorBidi"/>
              <w:noProof/>
              <w:color w:val="auto"/>
              <w:sz w:val="22"/>
              <w:szCs w:val="22"/>
              <w:lang w:val="en-GB" w:eastAsia="en-GB"/>
            </w:rPr>
          </w:pPr>
          <w:hyperlink w:anchor="_Toc497934299" w:history="1">
            <w:r w:rsidR="002771E9" w:rsidRPr="009B22A1">
              <w:rPr>
                <w:rStyle w:val="Hyperlink"/>
                <w:noProof/>
                <w14:scene3d>
                  <w14:camera w14:prst="orthographicFront"/>
                  <w14:lightRig w14:rig="threePt" w14:dir="t">
                    <w14:rot w14:lat="0" w14:lon="0" w14:rev="0"/>
                  </w14:lightRig>
                </w14:scene3d>
              </w:rPr>
              <w:t>9.1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_Toc497934299 \h </w:instrText>
            </w:r>
            <w:r w:rsidR="002771E9">
              <w:rPr>
                <w:noProof/>
                <w:webHidden/>
              </w:rPr>
            </w:r>
            <w:r w:rsidR="002771E9">
              <w:rPr>
                <w:noProof/>
                <w:webHidden/>
              </w:rPr>
              <w:fldChar w:fldCharType="separate"/>
            </w:r>
            <w:r w:rsidR="002771E9">
              <w:rPr>
                <w:noProof/>
                <w:webHidden/>
              </w:rPr>
              <w:t>92</w:t>
            </w:r>
            <w:r w:rsidR="002771E9">
              <w:rPr>
                <w:noProof/>
                <w:webHidden/>
              </w:rPr>
              <w:fldChar w:fldCharType="end"/>
            </w:r>
          </w:hyperlink>
        </w:p>
        <w:p w14:paraId="6494C256" w14:textId="79E9E6A5"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0" w:history="1">
            <w:r w:rsidR="002771E9" w:rsidRPr="009B22A1">
              <w:rPr>
                <w:rStyle w:val="Hyperlink"/>
                <w:noProof/>
                <w14:scene3d>
                  <w14:camera w14:prst="orthographicFront"/>
                  <w14:lightRig w14:rig="threePt" w14:dir="t">
                    <w14:rot w14:lat="0" w14:lon="0" w14:rev="0"/>
                  </w14:lightRig>
                </w14:scene3d>
              </w:rPr>
              <w:t>9.2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Progress</w:t>
            </w:r>
            <w:r w:rsidR="002771E9">
              <w:rPr>
                <w:noProof/>
                <w:webHidden/>
              </w:rPr>
              <w:tab/>
            </w:r>
            <w:r w:rsidR="002771E9">
              <w:rPr>
                <w:noProof/>
                <w:webHidden/>
              </w:rPr>
              <w:fldChar w:fldCharType="begin"/>
            </w:r>
            <w:r w:rsidR="002771E9">
              <w:rPr>
                <w:noProof/>
                <w:webHidden/>
              </w:rPr>
              <w:instrText xml:space="preserve"> PAGEREF _Toc497934300 \h </w:instrText>
            </w:r>
            <w:r w:rsidR="002771E9">
              <w:rPr>
                <w:noProof/>
                <w:webHidden/>
              </w:rPr>
            </w:r>
            <w:r w:rsidR="002771E9">
              <w:rPr>
                <w:noProof/>
                <w:webHidden/>
              </w:rPr>
              <w:fldChar w:fldCharType="separate"/>
            </w:r>
            <w:r w:rsidR="002771E9">
              <w:rPr>
                <w:noProof/>
                <w:webHidden/>
              </w:rPr>
              <w:t>92</w:t>
            </w:r>
            <w:r w:rsidR="002771E9">
              <w:rPr>
                <w:noProof/>
                <w:webHidden/>
              </w:rPr>
              <w:fldChar w:fldCharType="end"/>
            </w:r>
          </w:hyperlink>
        </w:p>
        <w:p w14:paraId="39F0391B" w14:textId="040E689B"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1" w:history="1">
            <w:r w:rsidR="002771E9" w:rsidRPr="009B22A1">
              <w:rPr>
                <w:rStyle w:val="Hyperlink"/>
                <w:noProof/>
                <w14:scene3d>
                  <w14:camera w14:prst="orthographicFront"/>
                  <w14:lightRig w14:rig="threePt" w14:dir="t">
                    <w14:rot w14:lat="0" w14:lon="0" w14:rev="0"/>
                  </w14:lightRig>
                </w14:scene3d>
              </w:rPr>
              <w:t>9.3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Summary</w:t>
            </w:r>
            <w:r w:rsidR="002771E9">
              <w:rPr>
                <w:noProof/>
                <w:webHidden/>
              </w:rPr>
              <w:tab/>
            </w:r>
            <w:r w:rsidR="002771E9">
              <w:rPr>
                <w:noProof/>
                <w:webHidden/>
              </w:rPr>
              <w:fldChar w:fldCharType="begin"/>
            </w:r>
            <w:r w:rsidR="002771E9">
              <w:rPr>
                <w:noProof/>
                <w:webHidden/>
              </w:rPr>
              <w:instrText xml:space="preserve"> PAGEREF _Toc497934301 \h </w:instrText>
            </w:r>
            <w:r w:rsidR="002771E9">
              <w:rPr>
                <w:noProof/>
                <w:webHidden/>
              </w:rPr>
            </w:r>
            <w:r w:rsidR="002771E9">
              <w:rPr>
                <w:noProof/>
                <w:webHidden/>
              </w:rPr>
              <w:fldChar w:fldCharType="separate"/>
            </w:r>
            <w:r w:rsidR="002771E9">
              <w:rPr>
                <w:noProof/>
                <w:webHidden/>
              </w:rPr>
              <w:t>94</w:t>
            </w:r>
            <w:r w:rsidR="002771E9">
              <w:rPr>
                <w:noProof/>
                <w:webHidden/>
              </w:rPr>
              <w:fldChar w:fldCharType="end"/>
            </w:r>
          </w:hyperlink>
        </w:p>
        <w:p w14:paraId="4FCB8ECF" w14:textId="1075BF2F" w:rsidR="002771E9" w:rsidRDefault="00160C04">
          <w:pPr>
            <w:pStyle w:val="TOC1"/>
            <w:tabs>
              <w:tab w:val="left" w:pos="601"/>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7934302" w:history="1">
            <w:r w:rsidR="002771E9" w:rsidRPr="009B22A1">
              <w:rPr>
                <w:rStyle w:val="Hyperlink"/>
                <w:noProof/>
              </w:rPr>
              <w:t>10</w:t>
            </w:r>
            <w:r w:rsidR="002771E9">
              <w:rPr>
                <w:rFonts w:asciiTheme="minorHAnsi" w:eastAsiaTheme="minorEastAsia" w:hAnsiTheme="minorHAnsi" w:cstheme="minorBidi"/>
                <w:b w:val="0"/>
                <w:bCs w:val="0"/>
                <w:caps w:val="0"/>
                <w:noProof/>
                <w:color w:val="auto"/>
                <w:sz w:val="22"/>
                <w:szCs w:val="22"/>
                <w:lang w:val="en-GB" w:eastAsia="en-GB"/>
              </w:rPr>
              <w:tab/>
            </w:r>
            <w:r w:rsidR="002771E9" w:rsidRPr="009B22A1">
              <w:rPr>
                <w:rStyle w:val="Hyperlink"/>
                <w:noProof/>
              </w:rPr>
              <w:t>Conclusions and Recommendations</w:t>
            </w:r>
            <w:r w:rsidR="002771E9">
              <w:rPr>
                <w:noProof/>
                <w:webHidden/>
              </w:rPr>
              <w:tab/>
            </w:r>
            <w:r w:rsidR="002771E9">
              <w:rPr>
                <w:noProof/>
                <w:webHidden/>
              </w:rPr>
              <w:fldChar w:fldCharType="begin"/>
            </w:r>
            <w:r w:rsidR="002771E9">
              <w:rPr>
                <w:noProof/>
                <w:webHidden/>
              </w:rPr>
              <w:instrText xml:space="preserve"> PAGEREF _Toc497934302 \h </w:instrText>
            </w:r>
            <w:r w:rsidR="002771E9">
              <w:rPr>
                <w:noProof/>
                <w:webHidden/>
              </w:rPr>
            </w:r>
            <w:r w:rsidR="002771E9">
              <w:rPr>
                <w:noProof/>
                <w:webHidden/>
              </w:rPr>
              <w:fldChar w:fldCharType="separate"/>
            </w:r>
            <w:r w:rsidR="002771E9">
              <w:rPr>
                <w:noProof/>
                <w:webHidden/>
              </w:rPr>
              <w:t>95</w:t>
            </w:r>
            <w:r w:rsidR="002771E9">
              <w:rPr>
                <w:noProof/>
                <w:webHidden/>
              </w:rPr>
              <w:fldChar w:fldCharType="end"/>
            </w:r>
          </w:hyperlink>
        </w:p>
        <w:p w14:paraId="4F327869" w14:textId="32E95165"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3" w:history="1">
            <w:r w:rsidR="002771E9" w:rsidRPr="009B22A1">
              <w:rPr>
                <w:rStyle w:val="Hyperlink"/>
                <w:noProof/>
                <w14:scene3d>
                  <w14:camera w14:prst="orthographicFront"/>
                  <w14:lightRig w14:rig="threePt" w14:dir="t">
                    <w14:rot w14:lat="0" w14:lon="0" w14:rev="0"/>
                  </w14:lightRig>
                </w14:scene3d>
              </w:rPr>
              <w:t>10.1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Introduction</w:t>
            </w:r>
            <w:r w:rsidR="002771E9">
              <w:rPr>
                <w:noProof/>
                <w:webHidden/>
              </w:rPr>
              <w:tab/>
            </w:r>
            <w:r w:rsidR="002771E9">
              <w:rPr>
                <w:noProof/>
                <w:webHidden/>
              </w:rPr>
              <w:fldChar w:fldCharType="begin"/>
            </w:r>
            <w:r w:rsidR="002771E9">
              <w:rPr>
                <w:noProof/>
                <w:webHidden/>
              </w:rPr>
              <w:instrText xml:space="preserve"> PAGEREF _Toc497934303 \h </w:instrText>
            </w:r>
            <w:r w:rsidR="002771E9">
              <w:rPr>
                <w:noProof/>
                <w:webHidden/>
              </w:rPr>
            </w:r>
            <w:r w:rsidR="002771E9">
              <w:rPr>
                <w:noProof/>
                <w:webHidden/>
              </w:rPr>
              <w:fldChar w:fldCharType="separate"/>
            </w:r>
            <w:r w:rsidR="002771E9">
              <w:rPr>
                <w:noProof/>
                <w:webHidden/>
              </w:rPr>
              <w:t>95</w:t>
            </w:r>
            <w:r w:rsidR="002771E9">
              <w:rPr>
                <w:noProof/>
                <w:webHidden/>
              </w:rPr>
              <w:fldChar w:fldCharType="end"/>
            </w:r>
          </w:hyperlink>
        </w:p>
        <w:p w14:paraId="5E422C7C" w14:textId="065005DB"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4" w:history="1">
            <w:r w:rsidR="002771E9" w:rsidRPr="009B22A1">
              <w:rPr>
                <w:rStyle w:val="Hyperlink"/>
                <w:noProof/>
                <w14:scene3d>
                  <w14:camera w14:prst="orthographicFront"/>
                  <w14:lightRig w14:rig="threePt" w14:dir="t">
                    <w14:rot w14:lat="0" w14:lon="0" w14:rev="0"/>
                  </w14:lightRig>
                </w14:scene3d>
              </w:rPr>
              <w:t>10.2</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Referrals</w:t>
            </w:r>
            <w:r w:rsidR="002771E9">
              <w:rPr>
                <w:noProof/>
                <w:webHidden/>
              </w:rPr>
              <w:tab/>
            </w:r>
            <w:r w:rsidR="002771E9">
              <w:rPr>
                <w:noProof/>
                <w:webHidden/>
              </w:rPr>
              <w:fldChar w:fldCharType="begin"/>
            </w:r>
            <w:r w:rsidR="002771E9">
              <w:rPr>
                <w:noProof/>
                <w:webHidden/>
              </w:rPr>
              <w:instrText xml:space="preserve"> PAGEREF _Toc497934304 \h </w:instrText>
            </w:r>
            <w:r w:rsidR="002771E9">
              <w:rPr>
                <w:noProof/>
                <w:webHidden/>
              </w:rPr>
            </w:r>
            <w:r w:rsidR="002771E9">
              <w:rPr>
                <w:noProof/>
                <w:webHidden/>
              </w:rPr>
              <w:fldChar w:fldCharType="separate"/>
            </w:r>
            <w:r w:rsidR="002771E9">
              <w:rPr>
                <w:noProof/>
                <w:webHidden/>
              </w:rPr>
              <w:t>95</w:t>
            </w:r>
            <w:r w:rsidR="002771E9">
              <w:rPr>
                <w:noProof/>
                <w:webHidden/>
              </w:rPr>
              <w:fldChar w:fldCharType="end"/>
            </w:r>
          </w:hyperlink>
        </w:p>
        <w:p w14:paraId="2BB170CF" w14:textId="4DAE32FE"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5" w:history="1">
            <w:r w:rsidR="002771E9" w:rsidRPr="009B22A1">
              <w:rPr>
                <w:rStyle w:val="Hyperlink"/>
                <w:noProof/>
                <w14:scene3d>
                  <w14:camera w14:prst="orthographicFront"/>
                  <w14:lightRig w14:rig="threePt" w14:dir="t">
                    <w14:rot w14:lat="0" w14:lon="0" w14:rev="0"/>
                  </w14:lightRig>
                </w14:scene3d>
              </w:rPr>
              <w:t>10.3</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Targets / KPIs</w:t>
            </w:r>
            <w:r w:rsidR="002771E9">
              <w:rPr>
                <w:noProof/>
                <w:webHidden/>
              </w:rPr>
              <w:tab/>
            </w:r>
            <w:r w:rsidR="002771E9">
              <w:rPr>
                <w:noProof/>
                <w:webHidden/>
              </w:rPr>
              <w:fldChar w:fldCharType="begin"/>
            </w:r>
            <w:r w:rsidR="002771E9">
              <w:rPr>
                <w:noProof/>
                <w:webHidden/>
              </w:rPr>
              <w:instrText xml:space="preserve"> PAGEREF _Toc497934305 \h </w:instrText>
            </w:r>
            <w:r w:rsidR="002771E9">
              <w:rPr>
                <w:noProof/>
                <w:webHidden/>
              </w:rPr>
            </w:r>
            <w:r w:rsidR="002771E9">
              <w:rPr>
                <w:noProof/>
                <w:webHidden/>
              </w:rPr>
              <w:fldChar w:fldCharType="separate"/>
            </w:r>
            <w:r w:rsidR="002771E9">
              <w:rPr>
                <w:noProof/>
                <w:webHidden/>
              </w:rPr>
              <w:t>96</w:t>
            </w:r>
            <w:r w:rsidR="002771E9">
              <w:rPr>
                <w:noProof/>
                <w:webHidden/>
              </w:rPr>
              <w:fldChar w:fldCharType="end"/>
            </w:r>
          </w:hyperlink>
        </w:p>
        <w:p w14:paraId="51416DEB" w14:textId="48B9A2B8"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6" w:history="1">
            <w:r w:rsidR="002771E9" w:rsidRPr="009B22A1">
              <w:rPr>
                <w:rStyle w:val="Hyperlink"/>
                <w:noProof/>
                <w14:scene3d>
                  <w14:camera w14:prst="orthographicFront"/>
                  <w14:lightRig w14:rig="threePt" w14:dir="t">
                    <w14:rot w14:lat="0" w14:lon="0" w14:rev="0"/>
                  </w14:lightRig>
                </w14:scene3d>
              </w:rPr>
              <w:t>10.4</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Monitoring</w:t>
            </w:r>
            <w:r w:rsidR="002771E9">
              <w:rPr>
                <w:noProof/>
                <w:webHidden/>
              </w:rPr>
              <w:tab/>
            </w:r>
            <w:r w:rsidR="002771E9">
              <w:rPr>
                <w:noProof/>
                <w:webHidden/>
              </w:rPr>
              <w:fldChar w:fldCharType="begin"/>
            </w:r>
            <w:r w:rsidR="002771E9">
              <w:rPr>
                <w:noProof/>
                <w:webHidden/>
              </w:rPr>
              <w:instrText xml:space="preserve"> PAGEREF _Toc497934306 \h </w:instrText>
            </w:r>
            <w:r w:rsidR="002771E9">
              <w:rPr>
                <w:noProof/>
                <w:webHidden/>
              </w:rPr>
            </w:r>
            <w:r w:rsidR="002771E9">
              <w:rPr>
                <w:noProof/>
                <w:webHidden/>
              </w:rPr>
              <w:fldChar w:fldCharType="separate"/>
            </w:r>
            <w:r w:rsidR="002771E9">
              <w:rPr>
                <w:noProof/>
                <w:webHidden/>
              </w:rPr>
              <w:t>97</w:t>
            </w:r>
            <w:r w:rsidR="002771E9">
              <w:rPr>
                <w:noProof/>
                <w:webHidden/>
              </w:rPr>
              <w:fldChar w:fldCharType="end"/>
            </w:r>
          </w:hyperlink>
        </w:p>
        <w:p w14:paraId="5622BD77" w14:textId="3B6A30C3"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7" w:history="1">
            <w:r w:rsidR="002771E9" w:rsidRPr="009B22A1">
              <w:rPr>
                <w:rStyle w:val="Hyperlink"/>
                <w:noProof/>
                <w14:scene3d>
                  <w14:camera w14:prst="orthographicFront"/>
                  <w14:lightRig w14:rig="threePt" w14:dir="t">
                    <w14:rot w14:lat="0" w14:lon="0" w14:rev="0"/>
                  </w14:lightRig>
                </w14:scene3d>
              </w:rPr>
              <w:t>10.5</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Data Collection</w:t>
            </w:r>
            <w:r w:rsidR="002771E9">
              <w:rPr>
                <w:noProof/>
                <w:webHidden/>
              </w:rPr>
              <w:tab/>
            </w:r>
            <w:r w:rsidR="002771E9">
              <w:rPr>
                <w:noProof/>
                <w:webHidden/>
              </w:rPr>
              <w:fldChar w:fldCharType="begin"/>
            </w:r>
            <w:r w:rsidR="002771E9">
              <w:rPr>
                <w:noProof/>
                <w:webHidden/>
              </w:rPr>
              <w:instrText xml:space="preserve"> PAGEREF _Toc497934307 \h </w:instrText>
            </w:r>
            <w:r w:rsidR="002771E9">
              <w:rPr>
                <w:noProof/>
                <w:webHidden/>
              </w:rPr>
            </w:r>
            <w:r w:rsidR="002771E9">
              <w:rPr>
                <w:noProof/>
                <w:webHidden/>
              </w:rPr>
              <w:fldChar w:fldCharType="separate"/>
            </w:r>
            <w:r w:rsidR="002771E9">
              <w:rPr>
                <w:noProof/>
                <w:webHidden/>
              </w:rPr>
              <w:t>97</w:t>
            </w:r>
            <w:r w:rsidR="002771E9">
              <w:rPr>
                <w:noProof/>
                <w:webHidden/>
              </w:rPr>
              <w:fldChar w:fldCharType="end"/>
            </w:r>
          </w:hyperlink>
        </w:p>
        <w:p w14:paraId="0DCB6A0E" w14:textId="1BFBE13E"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8" w:history="1">
            <w:r w:rsidR="002771E9" w:rsidRPr="009B22A1">
              <w:rPr>
                <w:rStyle w:val="Hyperlink"/>
                <w:noProof/>
                <w14:scene3d>
                  <w14:camera w14:prst="orthographicFront"/>
                  <w14:lightRig w14:rig="threePt" w14:dir="t">
                    <w14:rot w14:lat="0" w14:lon="0" w14:rev="0"/>
                  </w14:lightRig>
                </w14:scene3d>
              </w:rPr>
              <w:t>10.6</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Outcomes</w:t>
            </w:r>
            <w:r w:rsidR="002771E9">
              <w:rPr>
                <w:noProof/>
                <w:webHidden/>
              </w:rPr>
              <w:tab/>
            </w:r>
            <w:r w:rsidR="002771E9">
              <w:rPr>
                <w:noProof/>
                <w:webHidden/>
              </w:rPr>
              <w:fldChar w:fldCharType="begin"/>
            </w:r>
            <w:r w:rsidR="002771E9">
              <w:rPr>
                <w:noProof/>
                <w:webHidden/>
              </w:rPr>
              <w:instrText xml:space="preserve"> PAGEREF _Toc497934308 \h </w:instrText>
            </w:r>
            <w:r w:rsidR="002771E9">
              <w:rPr>
                <w:noProof/>
                <w:webHidden/>
              </w:rPr>
            </w:r>
            <w:r w:rsidR="002771E9">
              <w:rPr>
                <w:noProof/>
                <w:webHidden/>
              </w:rPr>
              <w:fldChar w:fldCharType="separate"/>
            </w:r>
            <w:r w:rsidR="002771E9">
              <w:rPr>
                <w:noProof/>
                <w:webHidden/>
              </w:rPr>
              <w:t>99</w:t>
            </w:r>
            <w:r w:rsidR="002771E9">
              <w:rPr>
                <w:noProof/>
                <w:webHidden/>
              </w:rPr>
              <w:fldChar w:fldCharType="end"/>
            </w:r>
          </w:hyperlink>
        </w:p>
        <w:p w14:paraId="4FB05D2C" w14:textId="384D3C3D"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09" w:history="1">
            <w:r w:rsidR="002771E9" w:rsidRPr="009B22A1">
              <w:rPr>
                <w:rStyle w:val="Hyperlink"/>
                <w:noProof/>
                <w14:scene3d>
                  <w14:camera w14:prst="orthographicFront"/>
                  <w14:lightRig w14:rig="threePt" w14:dir="t">
                    <w14:rot w14:lat="0" w14:lon="0" w14:rev="0"/>
                  </w14:lightRig>
                </w14:scene3d>
              </w:rPr>
              <w:t>10.7</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Cost Effectiveness / Cost Avoidance and Cost Effectiveness</w:t>
            </w:r>
            <w:r w:rsidR="002771E9">
              <w:rPr>
                <w:noProof/>
                <w:webHidden/>
              </w:rPr>
              <w:tab/>
            </w:r>
            <w:r w:rsidR="002771E9">
              <w:rPr>
                <w:noProof/>
                <w:webHidden/>
              </w:rPr>
              <w:fldChar w:fldCharType="begin"/>
            </w:r>
            <w:r w:rsidR="002771E9">
              <w:rPr>
                <w:noProof/>
                <w:webHidden/>
              </w:rPr>
              <w:instrText xml:space="preserve"> PAGEREF _Toc497934309 \h </w:instrText>
            </w:r>
            <w:r w:rsidR="002771E9">
              <w:rPr>
                <w:noProof/>
                <w:webHidden/>
              </w:rPr>
            </w:r>
            <w:r w:rsidR="002771E9">
              <w:rPr>
                <w:noProof/>
                <w:webHidden/>
              </w:rPr>
              <w:fldChar w:fldCharType="separate"/>
            </w:r>
            <w:r w:rsidR="002771E9">
              <w:rPr>
                <w:noProof/>
                <w:webHidden/>
              </w:rPr>
              <w:t>101</w:t>
            </w:r>
            <w:r w:rsidR="002771E9">
              <w:rPr>
                <w:noProof/>
                <w:webHidden/>
              </w:rPr>
              <w:fldChar w:fldCharType="end"/>
            </w:r>
          </w:hyperlink>
        </w:p>
        <w:p w14:paraId="3BF342C4" w14:textId="068B589D"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10" w:history="1">
            <w:r w:rsidR="002771E9" w:rsidRPr="009B22A1">
              <w:rPr>
                <w:rStyle w:val="Hyperlink"/>
                <w:noProof/>
                <w14:scene3d>
                  <w14:camera w14:prst="orthographicFront"/>
                  <w14:lightRig w14:rig="threePt" w14:dir="t">
                    <w14:rot w14:lat="0" w14:lon="0" w14:rev="0"/>
                  </w14:lightRig>
                </w14:scene3d>
              </w:rPr>
              <w:t>10.8</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Efficiency</w:t>
            </w:r>
            <w:r w:rsidR="002771E9">
              <w:rPr>
                <w:noProof/>
                <w:webHidden/>
              </w:rPr>
              <w:tab/>
            </w:r>
            <w:r w:rsidR="002771E9">
              <w:rPr>
                <w:noProof/>
                <w:webHidden/>
              </w:rPr>
              <w:fldChar w:fldCharType="begin"/>
            </w:r>
            <w:r w:rsidR="002771E9">
              <w:rPr>
                <w:noProof/>
                <w:webHidden/>
              </w:rPr>
              <w:instrText xml:space="preserve"> PAGEREF _Toc497934310 \h </w:instrText>
            </w:r>
            <w:r w:rsidR="002771E9">
              <w:rPr>
                <w:noProof/>
                <w:webHidden/>
              </w:rPr>
            </w:r>
            <w:r w:rsidR="002771E9">
              <w:rPr>
                <w:noProof/>
                <w:webHidden/>
              </w:rPr>
              <w:fldChar w:fldCharType="separate"/>
            </w:r>
            <w:r w:rsidR="002771E9">
              <w:rPr>
                <w:noProof/>
                <w:webHidden/>
              </w:rPr>
              <w:t>103</w:t>
            </w:r>
            <w:r w:rsidR="002771E9">
              <w:rPr>
                <w:noProof/>
                <w:webHidden/>
              </w:rPr>
              <w:fldChar w:fldCharType="end"/>
            </w:r>
          </w:hyperlink>
        </w:p>
        <w:p w14:paraId="7E55349D" w14:textId="246C65C9" w:rsidR="002771E9" w:rsidRDefault="00160C04">
          <w:pPr>
            <w:pStyle w:val="TOC2"/>
            <w:rPr>
              <w:rFonts w:asciiTheme="minorHAnsi" w:eastAsiaTheme="minorEastAsia" w:hAnsiTheme="minorHAnsi" w:cstheme="minorBidi"/>
              <w:noProof/>
              <w:color w:val="auto"/>
              <w:sz w:val="22"/>
              <w:szCs w:val="22"/>
              <w:lang w:val="en-GB" w:eastAsia="en-GB"/>
            </w:rPr>
          </w:pPr>
          <w:hyperlink w:anchor="_Toc497934311" w:history="1">
            <w:r w:rsidR="002771E9" w:rsidRPr="009B22A1">
              <w:rPr>
                <w:rStyle w:val="Hyperlink"/>
                <w:noProof/>
                <w14:scene3d>
                  <w14:camera w14:prst="orthographicFront"/>
                  <w14:lightRig w14:rig="threePt" w14:dir="t">
                    <w14:rot w14:lat="0" w14:lon="0" w14:rev="0"/>
                  </w14:lightRig>
                </w14:scene3d>
              </w:rPr>
              <w:t>10.9</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Quality</w:t>
            </w:r>
            <w:r w:rsidR="002771E9">
              <w:rPr>
                <w:noProof/>
                <w:webHidden/>
              </w:rPr>
              <w:tab/>
            </w:r>
            <w:r w:rsidR="002771E9">
              <w:rPr>
                <w:noProof/>
                <w:webHidden/>
              </w:rPr>
              <w:fldChar w:fldCharType="begin"/>
            </w:r>
            <w:r w:rsidR="002771E9">
              <w:rPr>
                <w:noProof/>
                <w:webHidden/>
              </w:rPr>
              <w:instrText xml:space="preserve"> PAGEREF _Toc497934311 \h </w:instrText>
            </w:r>
            <w:r w:rsidR="002771E9">
              <w:rPr>
                <w:noProof/>
                <w:webHidden/>
              </w:rPr>
            </w:r>
            <w:r w:rsidR="002771E9">
              <w:rPr>
                <w:noProof/>
                <w:webHidden/>
              </w:rPr>
              <w:fldChar w:fldCharType="separate"/>
            </w:r>
            <w:r w:rsidR="002771E9">
              <w:rPr>
                <w:noProof/>
                <w:webHidden/>
              </w:rPr>
              <w:t>103</w:t>
            </w:r>
            <w:r w:rsidR="002771E9">
              <w:rPr>
                <w:noProof/>
                <w:webHidden/>
              </w:rPr>
              <w:fldChar w:fldCharType="end"/>
            </w:r>
          </w:hyperlink>
        </w:p>
        <w:p w14:paraId="25D05BF4" w14:textId="500634FD" w:rsidR="002771E9" w:rsidRDefault="00160C04">
          <w:pPr>
            <w:pStyle w:val="TOC2"/>
            <w:tabs>
              <w:tab w:val="left" w:pos="1202"/>
            </w:tabs>
            <w:rPr>
              <w:rFonts w:asciiTheme="minorHAnsi" w:eastAsiaTheme="minorEastAsia" w:hAnsiTheme="minorHAnsi" w:cstheme="minorBidi"/>
              <w:noProof/>
              <w:color w:val="auto"/>
              <w:sz w:val="22"/>
              <w:szCs w:val="22"/>
              <w:lang w:val="en-GB" w:eastAsia="en-GB"/>
            </w:rPr>
          </w:pPr>
          <w:hyperlink w:anchor="_Toc497934312" w:history="1">
            <w:r w:rsidR="002771E9" w:rsidRPr="009B22A1">
              <w:rPr>
                <w:rStyle w:val="Hyperlink"/>
                <w:noProof/>
                <w14:scene3d>
                  <w14:camera w14:prst="orthographicFront"/>
                  <w14:lightRig w14:rig="threePt" w14:dir="t">
                    <w14:rot w14:lat="0" w14:lon="0" w14:rev="0"/>
                  </w14:lightRig>
                </w14:scene3d>
              </w:rPr>
              <w:t>10.10</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Local infrastructure, relationships and joint working</w:t>
            </w:r>
            <w:r w:rsidR="002771E9">
              <w:rPr>
                <w:noProof/>
                <w:webHidden/>
              </w:rPr>
              <w:tab/>
            </w:r>
            <w:r w:rsidR="002771E9">
              <w:rPr>
                <w:noProof/>
                <w:webHidden/>
              </w:rPr>
              <w:fldChar w:fldCharType="begin"/>
            </w:r>
            <w:r w:rsidR="002771E9">
              <w:rPr>
                <w:noProof/>
                <w:webHidden/>
              </w:rPr>
              <w:instrText xml:space="preserve"> PAGEREF _Toc497934312 \h </w:instrText>
            </w:r>
            <w:r w:rsidR="002771E9">
              <w:rPr>
                <w:noProof/>
                <w:webHidden/>
              </w:rPr>
            </w:r>
            <w:r w:rsidR="002771E9">
              <w:rPr>
                <w:noProof/>
                <w:webHidden/>
              </w:rPr>
              <w:fldChar w:fldCharType="separate"/>
            </w:r>
            <w:r w:rsidR="002771E9">
              <w:rPr>
                <w:noProof/>
                <w:webHidden/>
              </w:rPr>
              <w:t>104</w:t>
            </w:r>
            <w:r w:rsidR="002771E9">
              <w:rPr>
                <w:noProof/>
                <w:webHidden/>
              </w:rPr>
              <w:fldChar w:fldCharType="end"/>
            </w:r>
          </w:hyperlink>
        </w:p>
        <w:p w14:paraId="45646F4A" w14:textId="4EC13A79" w:rsidR="002771E9" w:rsidRDefault="00160C04">
          <w:pPr>
            <w:pStyle w:val="TOC2"/>
            <w:tabs>
              <w:tab w:val="left" w:pos="1202"/>
            </w:tabs>
            <w:rPr>
              <w:rFonts w:asciiTheme="minorHAnsi" w:eastAsiaTheme="minorEastAsia" w:hAnsiTheme="minorHAnsi" w:cstheme="minorBidi"/>
              <w:noProof/>
              <w:color w:val="auto"/>
              <w:sz w:val="22"/>
              <w:szCs w:val="22"/>
              <w:lang w:val="en-GB" w:eastAsia="en-GB"/>
            </w:rPr>
          </w:pPr>
          <w:hyperlink w:anchor="_Toc497934313" w:history="1">
            <w:r w:rsidR="002771E9" w:rsidRPr="009B22A1">
              <w:rPr>
                <w:rStyle w:val="Hyperlink"/>
                <w:noProof/>
                <w14:scene3d>
                  <w14:camera w14:prst="orthographicFront"/>
                  <w14:lightRig w14:rig="threePt" w14:dir="t">
                    <w14:rot w14:lat="0" w14:lon="0" w14:rev="0"/>
                  </w14:lightRig>
                </w14:scene3d>
              </w:rPr>
              <w:t>10.11</w:t>
            </w:r>
            <w:r w:rsidR="002771E9">
              <w:rPr>
                <w:rFonts w:asciiTheme="minorHAnsi" w:eastAsiaTheme="minorEastAsia" w:hAnsiTheme="minorHAnsi" w:cstheme="minorBidi"/>
                <w:noProof/>
                <w:color w:val="auto"/>
                <w:sz w:val="22"/>
                <w:szCs w:val="22"/>
                <w:lang w:val="en-GB" w:eastAsia="en-GB"/>
              </w:rPr>
              <w:tab/>
            </w:r>
            <w:r w:rsidR="002771E9" w:rsidRPr="009B22A1">
              <w:rPr>
                <w:rStyle w:val="Hyperlink"/>
                <w:noProof/>
              </w:rPr>
              <w:t>Summary- Key Model Components</w:t>
            </w:r>
            <w:r w:rsidR="002771E9">
              <w:rPr>
                <w:noProof/>
                <w:webHidden/>
              </w:rPr>
              <w:tab/>
            </w:r>
            <w:r w:rsidR="002771E9">
              <w:rPr>
                <w:noProof/>
                <w:webHidden/>
              </w:rPr>
              <w:fldChar w:fldCharType="begin"/>
            </w:r>
            <w:r w:rsidR="002771E9">
              <w:rPr>
                <w:noProof/>
                <w:webHidden/>
              </w:rPr>
              <w:instrText xml:space="preserve"> PAGEREF _Toc497934313 \h </w:instrText>
            </w:r>
            <w:r w:rsidR="002771E9">
              <w:rPr>
                <w:noProof/>
                <w:webHidden/>
              </w:rPr>
            </w:r>
            <w:r w:rsidR="002771E9">
              <w:rPr>
                <w:noProof/>
                <w:webHidden/>
              </w:rPr>
              <w:fldChar w:fldCharType="separate"/>
            </w:r>
            <w:r w:rsidR="002771E9">
              <w:rPr>
                <w:noProof/>
                <w:webHidden/>
              </w:rPr>
              <w:t>105</w:t>
            </w:r>
            <w:r w:rsidR="002771E9">
              <w:rPr>
                <w:noProof/>
                <w:webHidden/>
              </w:rPr>
              <w:fldChar w:fldCharType="end"/>
            </w:r>
          </w:hyperlink>
        </w:p>
        <w:p w14:paraId="797530F5" w14:textId="666D577A" w:rsidR="007133C1" w:rsidRPr="00EE788C" w:rsidRDefault="008D7030" w:rsidP="007133C1">
          <w:pPr>
            <w:rPr>
              <w:b/>
              <w:bCs/>
              <w:color w:val="00B0F0"/>
              <w:lang w:val="en-GB"/>
            </w:rPr>
          </w:pPr>
          <w:r>
            <w:rPr>
              <w:rFonts w:eastAsia="Times New Roman"/>
              <w:color w:val="16365D"/>
              <w:lang w:val="en-IE"/>
            </w:rPr>
            <w:fldChar w:fldCharType="end"/>
          </w:r>
          <w:r w:rsidR="007133C1" w:rsidRPr="00EE788C">
            <w:rPr>
              <w:b/>
              <w:bCs/>
              <w:color w:val="00B0F0"/>
              <w:lang w:val="en-GB"/>
            </w:rPr>
            <w:t>Appendices</w:t>
          </w:r>
        </w:p>
        <w:p w14:paraId="036A93ED" w14:textId="77777777" w:rsidR="00634596" w:rsidRDefault="007133C1">
          <w:pPr>
            <w:pStyle w:val="TOC1"/>
            <w:tabs>
              <w:tab w:val="right" w:leader="dot" w:pos="9627"/>
            </w:tabs>
            <w:rPr>
              <w:rFonts w:asciiTheme="minorHAnsi" w:eastAsiaTheme="minorEastAsia" w:hAnsiTheme="minorHAnsi" w:cstheme="minorBidi"/>
              <w:b w:val="0"/>
              <w:bCs w:val="0"/>
              <w:caps w:val="0"/>
              <w:noProof/>
              <w:color w:val="auto"/>
              <w:sz w:val="22"/>
              <w:szCs w:val="22"/>
              <w:lang w:val="en-GB" w:eastAsia="en-GB"/>
            </w:rPr>
          </w:pPr>
          <w:r w:rsidRPr="00EE788C">
            <w:rPr>
              <w:b w:val="0"/>
              <w:bCs w:val="0"/>
              <w:caps w:val="0"/>
              <w:color w:val="00B0F0"/>
              <w:lang w:val="en-GB"/>
            </w:rPr>
            <w:fldChar w:fldCharType="begin"/>
          </w:r>
          <w:r w:rsidRPr="00EE788C">
            <w:rPr>
              <w:b w:val="0"/>
              <w:bCs w:val="0"/>
              <w:caps w:val="0"/>
              <w:color w:val="00B0F0"/>
              <w:lang w:val="en-GB"/>
            </w:rPr>
            <w:instrText xml:space="preserve"> TOC \n \h \z \t "Appendix Header,1" </w:instrText>
          </w:r>
          <w:r w:rsidRPr="00EE788C">
            <w:rPr>
              <w:b w:val="0"/>
              <w:bCs w:val="0"/>
              <w:caps w:val="0"/>
              <w:color w:val="00B0F0"/>
              <w:lang w:val="en-GB"/>
            </w:rPr>
            <w:fldChar w:fldCharType="separate"/>
          </w:r>
          <w:hyperlink w:anchor="_Toc493160623" w:history="1">
            <w:r w:rsidR="00634596" w:rsidRPr="005A5090">
              <w:rPr>
                <w:rStyle w:val="Hyperlink"/>
                <w:noProof/>
              </w:rPr>
              <w:t>APPENDIX 1: SERVICE USER BASELINE QUESTIONNAIRE</w:t>
            </w:r>
          </w:hyperlink>
        </w:p>
        <w:p w14:paraId="2AB98B52" w14:textId="77777777" w:rsidR="00634596" w:rsidRDefault="00160C04">
          <w:pPr>
            <w:pStyle w:val="TOC1"/>
            <w:tabs>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3160624" w:history="1">
            <w:r w:rsidR="00634596" w:rsidRPr="005A5090">
              <w:rPr>
                <w:rStyle w:val="Hyperlink"/>
                <w:noProof/>
              </w:rPr>
              <w:t>APPENDIX 2: SERVICE USER Follow-Up QUESTIONNAIRE</w:t>
            </w:r>
          </w:hyperlink>
        </w:p>
        <w:p w14:paraId="2B228050" w14:textId="77777777" w:rsidR="00634596" w:rsidRDefault="00160C04">
          <w:pPr>
            <w:pStyle w:val="TOC1"/>
            <w:tabs>
              <w:tab w:val="right" w:leader="dot" w:pos="9627"/>
            </w:tabs>
            <w:rPr>
              <w:rFonts w:asciiTheme="minorHAnsi" w:eastAsiaTheme="minorEastAsia" w:hAnsiTheme="minorHAnsi" w:cstheme="minorBidi"/>
              <w:b w:val="0"/>
              <w:bCs w:val="0"/>
              <w:caps w:val="0"/>
              <w:noProof/>
              <w:color w:val="auto"/>
              <w:sz w:val="22"/>
              <w:szCs w:val="22"/>
              <w:lang w:val="en-GB" w:eastAsia="en-GB"/>
            </w:rPr>
          </w:pPr>
          <w:hyperlink w:anchor="_Toc493160625" w:history="1">
            <w:r w:rsidR="00634596" w:rsidRPr="005A5090">
              <w:rPr>
                <w:rStyle w:val="Hyperlink"/>
                <w:noProof/>
              </w:rPr>
              <w:t>Appendix 3: Social Prescribing s76 addendum revised KPIs</w:t>
            </w:r>
          </w:hyperlink>
        </w:p>
        <w:p w14:paraId="1FE40E42" w14:textId="77777777" w:rsidR="000F5D2B" w:rsidRDefault="007133C1" w:rsidP="007133C1">
          <w:r w:rsidRPr="00EE788C">
            <w:rPr>
              <w:b/>
              <w:bCs/>
              <w:caps/>
              <w:color w:val="00B0F0"/>
              <w:lang w:val="en-GB"/>
            </w:rPr>
            <w:fldChar w:fldCharType="end"/>
          </w:r>
        </w:p>
      </w:sdtContent>
    </w:sdt>
    <w:p w14:paraId="0B03B925" w14:textId="77777777" w:rsidR="00DC1E0A" w:rsidRPr="00DC1E0A" w:rsidRDefault="00DC1E0A" w:rsidP="00C12727">
      <w:pPr>
        <w:pStyle w:val="TOC1"/>
      </w:pPr>
    </w:p>
    <w:p w14:paraId="28E278A4" w14:textId="77777777" w:rsidR="00DC1E0A" w:rsidRPr="00DC1E0A" w:rsidRDefault="00DC1E0A" w:rsidP="00C12727">
      <w:pPr>
        <w:rPr>
          <w:lang w:val="en-IE"/>
        </w:rPr>
        <w:sectPr w:rsidR="00DC1E0A" w:rsidRPr="00DC1E0A" w:rsidSect="00860323">
          <w:headerReference w:type="default" r:id="rId11"/>
          <w:footerReference w:type="default" r:id="rId12"/>
          <w:pgSz w:w="11910" w:h="16840"/>
          <w:pgMar w:top="680" w:right="853" w:bottom="280" w:left="1420" w:header="720" w:footer="720" w:gutter="0"/>
          <w:pgNumType w:start="1"/>
          <w:cols w:space="720"/>
        </w:sectPr>
      </w:pPr>
    </w:p>
    <w:p w14:paraId="133AE7E6" w14:textId="77777777" w:rsidR="003A4ABF" w:rsidRPr="00F52A0F" w:rsidRDefault="003A4ABF" w:rsidP="00AE785D">
      <w:pPr>
        <w:pStyle w:val="BodyText-parastylebold"/>
      </w:pPr>
      <w:bookmarkStart w:id="9" w:name="_Toc431415101"/>
      <w:bookmarkStart w:id="10" w:name="_Toc431417453"/>
      <w:bookmarkStart w:id="11" w:name="_Toc472954158"/>
      <w:r w:rsidRPr="00F52A0F">
        <w:lastRenderedPageBreak/>
        <w:t>Acknowledgements</w:t>
      </w:r>
    </w:p>
    <w:p w14:paraId="55DF1E7F" w14:textId="7FE2D048" w:rsidR="003A4ABF" w:rsidRPr="00916843" w:rsidRDefault="006B4B17" w:rsidP="003A4ABF">
      <w:pPr>
        <w:pStyle w:val="BodyText-italics"/>
      </w:pPr>
      <w:r w:rsidRPr="00916843">
        <w:t>We would like to acknowledge the support and information provided by each of the delivery organisations in the preparation of the individual project and programme reports as well as the support and guidance provided by</w:t>
      </w:r>
      <w:r w:rsidR="00F52A0F">
        <w:t xml:space="preserve"> Helen Lax and Krishna Ramkhelawon (</w:t>
      </w:r>
      <w:r w:rsidRPr="00916843">
        <w:t>Essex County Council</w:t>
      </w:r>
      <w:r w:rsidR="00F52A0F">
        <w:t>)</w:t>
      </w:r>
      <w:r w:rsidRPr="00916843">
        <w:t xml:space="preserve"> in the design and delivery of the evaluation</w:t>
      </w:r>
      <w:r w:rsidR="00916843" w:rsidRPr="00916843">
        <w:t xml:space="preserve">. </w:t>
      </w:r>
      <w:r w:rsidRPr="00916843">
        <w:t xml:space="preserve"> </w:t>
      </w:r>
    </w:p>
    <w:p w14:paraId="6BA1D3F6" w14:textId="77777777" w:rsidR="00602F21" w:rsidRDefault="00602F21" w:rsidP="009F3F52">
      <w:pPr>
        <w:pStyle w:val="BodyText-italics"/>
      </w:pPr>
    </w:p>
    <w:p w14:paraId="3A4D7ECD" w14:textId="77777777" w:rsidR="00602F21" w:rsidRDefault="00602F21">
      <w:pPr>
        <w:spacing w:before="0" w:after="0" w:line="240" w:lineRule="auto"/>
        <w:rPr>
          <w:rFonts w:eastAsia="Times New Roman"/>
          <w:sz w:val="24"/>
          <w:szCs w:val="24"/>
          <w:lang w:val="en-IE"/>
        </w:rPr>
      </w:pPr>
      <w:r>
        <w:br w:type="page"/>
      </w:r>
    </w:p>
    <w:p w14:paraId="1E3EB01D" w14:textId="501ADE2A" w:rsidR="008B6D63" w:rsidRDefault="008E0995" w:rsidP="006352E5">
      <w:pPr>
        <w:pStyle w:val="Quote"/>
        <w:spacing w:after="0" w:line="240" w:lineRule="auto"/>
      </w:pPr>
      <w:r>
        <w:rPr>
          <w:noProof/>
          <w:lang w:val="en-GB" w:eastAsia="en-GB"/>
        </w:rPr>
        <w:lastRenderedPageBreak/>
        <w:drawing>
          <wp:inline distT="0" distB="0" distL="0" distR="0" wp14:anchorId="31C9DB5C" wp14:editId="648A7DA8">
            <wp:extent cx="5973445" cy="810345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8643" cy="8110510"/>
                    </a:xfrm>
                    <a:prstGeom prst="rect">
                      <a:avLst/>
                    </a:prstGeom>
                  </pic:spPr>
                </pic:pic>
              </a:graphicData>
            </a:graphic>
          </wp:inline>
        </w:drawing>
      </w:r>
    </w:p>
    <w:p w14:paraId="23586E60" w14:textId="7AF3F4AE" w:rsidR="009B3F1B" w:rsidRPr="00D03E47" w:rsidRDefault="00D03E47" w:rsidP="006352E5">
      <w:pPr>
        <w:pStyle w:val="Quote"/>
        <w:spacing w:after="0" w:line="240" w:lineRule="auto"/>
        <w:rPr>
          <w:sz w:val="16"/>
          <w:szCs w:val="16"/>
        </w:rPr>
      </w:pPr>
      <w:r w:rsidRPr="00D03E47">
        <w:rPr>
          <w:sz w:val="16"/>
          <w:szCs w:val="16"/>
        </w:rPr>
        <w:t xml:space="preserve">*The survey findings relate only to the Basildon and Brentwood; Castle Point and Rochford; Mid Essex; North East Essex (My Social Prescription); and West Essex projects. </w:t>
      </w:r>
      <w:r w:rsidR="009B3F1B" w:rsidRPr="00D03E47">
        <w:rPr>
          <w:sz w:val="16"/>
          <w:szCs w:val="16"/>
        </w:rPr>
        <w:t>Cost avoidance calculated using self-reported use of primary, secondary and social care service and the New Economy Manchester Model</w:t>
      </w:r>
      <w:r w:rsidR="004D76ED" w:rsidRPr="00D03E47">
        <w:rPr>
          <w:sz w:val="16"/>
          <w:szCs w:val="16"/>
        </w:rPr>
        <w:t>.</w:t>
      </w:r>
    </w:p>
    <w:p w14:paraId="16519225" w14:textId="1E9B411D" w:rsidR="00D03E47" w:rsidRPr="00D03E47" w:rsidRDefault="00D03E47" w:rsidP="006352E5">
      <w:pPr>
        <w:spacing w:before="0" w:after="0" w:line="240" w:lineRule="auto"/>
        <w:rPr>
          <w:sz w:val="16"/>
          <w:szCs w:val="16"/>
        </w:rPr>
      </w:pPr>
      <w:r w:rsidRPr="00D03E47">
        <w:rPr>
          <w:sz w:val="16"/>
          <w:szCs w:val="16"/>
        </w:rPr>
        <w:t>**</w:t>
      </w:r>
      <w:r w:rsidRPr="00D03E47">
        <w:rPr>
          <w:i/>
          <w:iCs/>
          <w:color w:val="404040"/>
          <w:sz w:val="16"/>
          <w:szCs w:val="16"/>
        </w:rPr>
        <w:t>The survey sample is not representative of the entire population and findings should be treated with caution as only providing an illustration of the types of cost-benefits that might occur more widely as a result of the project in the longer term</w:t>
      </w:r>
    </w:p>
    <w:p w14:paraId="383956FB" w14:textId="77777777" w:rsidR="00375A26" w:rsidRDefault="00CD1667" w:rsidP="006C34B6">
      <w:pPr>
        <w:pStyle w:val="Heading1"/>
        <w:keepNext w:val="0"/>
        <w:keepLines w:val="0"/>
        <w:numPr>
          <w:ilvl w:val="0"/>
          <w:numId w:val="1"/>
        </w:numPr>
        <w:spacing w:before="240" w:line="288" w:lineRule="auto"/>
        <w:ind w:left="709" w:hanging="709"/>
      </w:pPr>
      <w:bookmarkStart w:id="12" w:name="_Toc497934251"/>
      <w:r>
        <w:lastRenderedPageBreak/>
        <w:t>Executive Summary</w:t>
      </w:r>
      <w:bookmarkEnd w:id="12"/>
    </w:p>
    <w:p w14:paraId="0ACABE51" w14:textId="77777777" w:rsidR="00CD1667" w:rsidRDefault="00F23ABB" w:rsidP="00F23ABB">
      <w:pPr>
        <w:pStyle w:val="Heading2"/>
      </w:pPr>
      <w:bookmarkStart w:id="13" w:name="_Toc497934252"/>
      <w:r>
        <w:t>Introduction</w:t>
      </w:r>
      <w:bookmarkEnd w:id="13"/>
    </w:p>
    <w:p w14:paraId="0B5B79E3" w14:textId="77777777" w:rsidR="00720CC0" w:rsidRDefault="00720CC0" w:rsidP="00AE785D">
      <w:pPr>
        <w:pStyle w:val="BodyText-parastyle"/>
      </w:pPr>
      <w:r>
        <w:t xml:space="preserve">This report provides an assessment of the economic and social impact of the pilot Social Prescribing models across Essex completed by RSM PACEC on behalf of Essex County Council (ECC).  </w:t>
      </w:r>
    </w:p>
    <w:p w14:paraId="4F5FB46F" w14:textId="77777777" w:rsidR="00720CC0" w:rsidRDefault="00720CC0" w:rsidP="00AE785D">
      <w:pPr>
        <w:pStyle w:val="BodyText-parastyle"/>
      </w:pPr>
      <w:r w:rsidRPr="00EB7145">
        <w:t xml:space="preserve">ECC required an </w:t>
      </w:r>
      <w:r>
        <w:t>assessment of</w:t>
      </w:r>
      <w:r w:rsidRPr="00EB7145">
        <w:t xml:space="preserve"> </w:t>
      </w:r>
      <w:r>
        <w:t>how effective the</w:t>
      </w:r>
      <w:r w:rsidRPr="00EB7145">
        <w:t xml:space="preserve"> Social Prescribing </w:t>
      </w:r>
      <w:r>
        <w:t>models</w:t>
      </w:r>
      <w:r w:rsidRPr="00EB7145">
        <w:t xml:space="preserve"> </w:t>
      </w:r>
      <w:r>
        <w:t xml:space="preserve">were </w:t>
      </w:r>
      <w:r w:rsidRPr="00EB7145">
        <w:t xml:space="preserve">in </w:t>
      </w:r>
      <w:r>
        <w:t>relation to cost avoidance / cost savings</w:t>
      </w:r>
      <w:r w:rsidRPr="00EB7145">
        <w:t xml:space="preserve"> </w:t>
      </w:r>
      <w:r>
        <w:t xml:space="preserve">for primary, secondary and social care services as well as the </w:t>
      </w:r>
      <w:r w:rsidRPr="00EB7145">
        <w:t>health and wellbei</w:t>
      </w:r>
      <w:r>
        <w:t>ng outcomes for service users. This report provides an overall assessment at programme level, project findings for each locality model are available in individual project reports.</w:t>
      </w:r>
    </w:p>
    <w:p w14:paraId="2599DE4B" w14:textId="77777777" w:rsidR="00720CC0" w:rsidRDefault="00720CC0" w:rsidP="00720CC0">
      <w:pPr>
        <w:pStyle w:val="Heading2"/>
        <w:numPr>
          <w:ilvl w:val="1"/>
          <w:numId w:val="1"/>
        </w:numPr>
        <w:tabs>
          <w:tab w:val="clear" w:pos="3349"/>
          <w:tab w:val="num" w:pos="567"/>
        </w:tabs>
        <w:ind w:left="567" w:hanging="567"/>
      </w:pPr>
      <w:bookmarkStart w:id="14" w:name="_Toc497934253"/>
      <w:r>
        <w:t>What is Social Prescribing</w:t>
      </w:r>
      <w:bookmarkEnd w:id="14"/>
      <w:r>
        <w:t xml:space="preserve"> </w:t>
      </w:r>
    </w:p>
    <w:p w14:paraId="1AF1A02A" w14:textId="77777777" w:rsidR="00720CC0" w:rsidRDefault="00720CC0" w:rsidP="00AE785D">
      <w:pPr>
        <w:pStyle w:val="BodyText-parastyle"/>
      </w:pPr>
      <w:r>
        <w:t>Social Prescribing is an overarching term for a project or programme that links patients with non-clinical treatment (social or physical) within their community. Referrals can be made from a range of sources including GPs, primary care professionals and others (e.g. self-referrals or referrals from police or social services) depending on the model being implemented. It aims to reduce the demand on health services, improve community wellbeing and reduce social isolation.</w:t>
      </w:r>
      <w:r>
        <w:rPr>
          <w:rStyle w:val="FootnoteReference"/>
        </w:rPr>
        <w:footnoteReference w:id="1"/>
      </w:r>
    </w:p>
    <w:p w14:paraId="429A3895" w14:textId="77777777" w:rsidR="00720CC0" w:rsidRDefault="00720CC0" w:rsidP="00AE785D">
      <w:pPr>
        <w:pStyle w:val="BodyText-parastyle"/>
      </w:pPr>
      <w:r>
        <w:t>Most Social Prescribing models are based in a healthcare setting where referrals are primarily made by healthcare staff or where a link worker or navigator is based in a primary care setting. However there is an alternative model that is based in a community setting and where referrals are made from the wider system and can involve training staff within organisations to be ‘Social Prescribing Champions’ (SPCs) and make referrals.</w:t>
      </w:r>
    </w:p>
    <w:p w14:paraId="3179975A" w14:textId="77777777" w:rsidR="00720CC0" w:rsidRDefault="00720CC0" w:rsidP="00AE785D">
      <w:pPr>
        <w:pStyle w:val="BodyText-parastyle"/>
      </w:pPr>
      <w:r w:rsidRPr="00BF324A">
        <w:t>Social Prescribing has been developed in a policy environment which places greater emphasis on integrated and preventative healthcare interventions that can reduce pressure on health services. Most recently, the NHS five year forward view (2014) highlighted the need for a greater focus on prevention and wellbeing, patient-centred care, and better integration of services, as well as the role of the third sector in delivering services that promote wellbeing. The General Practice Forward View (2016) also highlighted the role of Social Prescribing in developing better integration across the wider health and care system, noting that Social Prescribing is ‘a key measure by which patients can benefit from wider support’.</w:t>
      </w:r>
    </w:p>
    <w:p w14:paraId="20B02EC4" w14:textId="77777777" w:rsidR="00720CC0" w:rsidRDefault="00720CC0" w:rsidP="00720CC0">
      <w:pPr>
        <w:pStyle w:val="Heading2"/>
        <w:numPr>
          <w:ilvl w:val="1"/>
          <w:numId w:val="1"/>
        </w:numPr>
        <w:tabs>
          <w:tab w:val="clear" w:pos="3349"/>
          <w:tab w:val="num" w:pos="567"/>
        </w:tabs>
        <w:ind w:left="567" w:hanging="567"/>
      </w:pPr>
      <w:bookmarkStart w:id="15" w:name="_Toc497934254"/>
      <w:r>
        <w:lastRenderedPageBreak/>
        <w:t>Social Prescribing Models in Essex</w:t>
      </w:r>
      <w:bookmarkEnd w:id="15"/>
      <w:r>
        <w:t xml:space="preserve"> </w:t>
      </w:r>
    </w:p>
    <w:p w14:paraId="21FECB3B" w14:textId="1A997717" w:rsidR="00720CC0" w:rsidRDefault="00720CC0" w:rsidP="00AE785D">
      <w:pPr>
        <w:pStyle w:val="BodyText-parastyle"/>
      </w:pPr>
      <w:r>
        <w:t>A business case was approved in 2015 by</w:t>
      </w:r>
      <w:r w:rsidR="003E2647">
        <w:t xml:space="preserve"> the Transformation Challenge Programme Board</w:t>
      </w:r>
      <w:r>
        <w:t xml:space="preserve"> for funding of </w:t>
      </w:r>
      <w:r w:rsidRPr="00BA7C77">
        <w:t>£1</w:t>
      </w:r>
      <w:r>
        <w:t>,310,000</w:t>
      </w:r>
      <w:r>
        <w:rPr>
          <w:rStyle w:val="FootnoteReference"/>
        </w:rPr>
        <w:footnoteReference w:id="2"/>
      </w:r>
      <w:r>
        <w:t xml:space="preserve"> for the period 2015/16 – 2016/17 to operate pilot Social Prescribing services across the area. However not all of the funding in the business case was received due </w:t>
      </w:r>
      <w:r w:rsidR="00520950">
        <w:t xml:space="preserve">to </w:t>
      </w:r>
      <w:r w:rsidR="003E2647">
        <w:t xml:space="preserve">savings required </w:t>
      </w:r>
      <w:r>
        <w:t xml:space="preserve">in public health funding and some partners did not contribute the funding originally anticipated. The total income/ funding provided during 2015/16 – 2016/17 was </w:t>
      </w:r>
      <w:r w:rsidR="004419E2" w:rsidRPr="004419E2">
        <w:t>£1,190,942</w:t>
      </w:r>
      <w:r>
        <w:t>.</w:t>
      </w:r>
      <w:r>
        <w:rPr>
          <w:rStyle w:val="FootnoteReference"/>
        </w:rPr>
        <w:footnoteReference w:id="3"/>
      </w:r>
    </w:p>
    <w:p w14:paraId="46C7487C" w14:textId="603B809C" w:rsidR="00720CC0" w:rsidRDefault="00720CC0" w:rsidP="00AE785D">
      <w:pPr>
        <w:pStyle w:val="BodyText-parastyle"/>
      </w:pPr>
      <w:r>
        <w:t xml:space="preserve">Funding was made available from the </w:t>
      </w:r>
      <w:r w:rsidRPr="00BA5F58">
        <w:t xml:space="preserve">Transformation Challenge Award </w:t>
      </w:r>
      <w:r>
        <w:t>(</w:t>
      </w:r>
      <w:r w:rsidRPr="00BA5F58">
        <w:t>TCA</w:t>
      </w:r>
      <w:r>
        <w:t>)</w:t>
      </w:r>
      <w:r>
        <w:rPr>
          <w:rStyle w:val="FootnoteReference"/>
        </w:rPr>
        <w:footnoteReference w:id="4"/>
      </w:r>
      <w:r w:rsidRPr="00BA5F58">
        <w:t xml:space="preserve"> and Public Health funds</w:t>
      </w:r>
      <w:r>
        <w:t>.  In addition, funding was committed by various statutory partners</w:t>
      </w:r>
      <w:r w:rsidR="003374A8">
        <w:t xml:space="preserve"> </w:t>
      </w:r>
      <w:r w:rsidR="00802B05">
        <w:t>including two</w:t>
      </w:r>
      <w:r w:rsidR="003374A8">
        <w:t xml:space="preserve"> </w:t>
      </w:r>
      <w:r>
        <w:t>Clinical Commissioning Groups (CCGs)</w:t>
      </w:r>
      <w:r>
        <w:rPr>
          <w:rStyle w:val="FootnoteReference"/>
        </w:rPr>
        <w:footnoteReference w:id="5"/>
      </w:r>
      <w:r>
        <w:t xml:space="preserve">, </w:t>
      </w:r>
      <w:r w:rsidRPr="00BA5F58">
        <w:t>Office of the Police and Crime Commissioner</w:t>
      </w:r>
      <w:r>
        <w:t xml:space="preserve"> (OPCC) and</w:t>
      </w:r>
      <w:r w:rsidR="003374A8">
        <w:t xml:space="preserve"> one</w:t>
      </w:r>
      <w:r>
        <w:t xml:space="preserve"> local authorit</w:t>
      </w:r>
      <w:r w:rsidR="003374A8">
        <w:t>y</w:t>
      </w:r>
      <w:r>
        <w:t>.</w:t>
      </w:r>
      <w:r>
        <w:rPr>
          <w:rStyle w:val="FootnoteReference"/>
        </w:rPr>
        <w:footnoteReference w:id="6"/>
      </w:r>
      <w:r>
        <w:t xml:space="preserve"> </w:t>
      </w:r>
    </w:p>
    <w:p w14:paraId="6634A3C6" w14:textId="77777777" w:rsidR="00720CC0" w:rsidRDefault="00720CC0" w:rsidP="00AE785D">
      <w:pPr>
        <w:pStyle w:val="BodyText-parastyle"/>
      </w:pPr>
      <w:r>
        <w:t>The overarching objectives for the Social Prescribing projects (as stated in the business case) were to</w:t>
      </w:r>
      <w:r>
        <w:rPr>
          <w:rStyle w:val="FootnoteReference"/>
        </w:rPr>
        <w:footnoteReference w:id="7"/>
      </w:r>
      <w:r>
        <w:t>:</w:t>
      </w:r>
    </w:p>
    <w:p w14:paraId="0C7BBDE5" w14:textId="77777777" w:rsidR="00720CC0" w:rsidRDefault="00720CC0" w:rsidP="00D53262">
      <w:pPr>
        <w:pStyle w:val="ListParagraph"/>
      </w:pPr>
      <w:r>
        <w:t>improve the health and wellbeing of individuals through early intervention and reduce the dependency on public sector services;</w:t>
      </w:r>
    </w:p>
    <w:p w14:paraId="0230C14D" w14:textId="77777777" w:rsidR="00720CC0" w:rsidRDefault="00720CC0" w:rsidP="00D53262">
      <w:pPr>
        <w:pStyle w:val="ListParagraph"/>
      </w:pPr>
      <w:r>
        <w:t>increase the role and capability of the voluntary and community sector (VCS) in providing support for an individual’s needs and in mobilising communities to support care needs; and</w:t>
      </w:r>
    </w:p>
    <w:p w14:paraId="237468E9" w14:textId="77777777" w:rsidR="00720CC0" w:rsidRDefault="00720CC0" w:rsidP="00D53262">
      <w:pPr>
        <w:pStyle w:val="ListParagraph"/>
      </w:pPr>
      <w:r>
        <w:t>build a more integrated approach between health and social care and its engagement with the VCS.</w:t>
      </w:r>
    </w:p>
    <w:p w14:paraId="43E9867E" w14:textId="77777777" w:rsidR="00720CC0" w:rsidRDefault="00720CC0" w:rsidP="00720CC0">
      <w:pPr>
        <w:pStyle w:val="BodyText-italics"/>
      </w:pPr>
      <w:r>
        <w:t>ECC</w:t>
      </w:r>
      <w:r w:rsidRPr="005F3981">
        <w:t xml:space="preserve"> funded s</w:t>
      </w:r>
      <w:r>
        <w:t>even</w:t>
      </w:r>
      <w:r w:rsidRPr="005F3981">
        <w:t xml:space="preserve"> </w:t>
      </w:r>
      <w:r>
        <w:t xml:space="preserve">Social Prescribing </w:t>
      </w:r>
      <w:r w:rsidRPr="005F3981">
        <w:t>pilots across Essex</w:t>
      </w:r>
      <w:r>
        <w:t xml:space="preserve"> and a summary of each model is outlined in the following table.</w:t>
      </w:r>
    </w:p>
    <w:p w14:paraId="70D96411" w14:textId="77777777" w:rsidR="00720CC0" w:rsidRDefault="00720CC0" w:rsidP="00AE785D">
      <w:pPr>
        <w:pStyle w:val="BodyText-parastyle"/>
      </w:pPr>
    </w:p>
    <w:p w14:paraId="5EE0C747" w14:textId="77777777" w:rsidR="00720CC0" w:rsidRDefault="00720CC0" w:rsidP="00AE785D">
      <w:pPr>
        <w:pStyle w:val="BodyText-parastyle"/>
      </w:pPr>
    </w:p>
    <w:p w14:paraId="7049C63B" w14:textId="77777777" w:rsidR="00720CC0" w:rsidRDefault="00720CC0" w:rsidP="00AE785D">
      <w:pPr>
        <w:pStyle w:val="BodyText-parastyle"/>
      </w:pPr>
    </w:p>
    <w:p w14:paraId="5946C4A9" w14:textId="77777777" w:rsidR="00720CC0" w:rsidRDefault="00720CC0" w:rsidP="00AE785D">
      <w:pPr>
        <w:pStyle w:val="BodyText-parastyle"/>
      </w:pPr>
    </w:p>
    <w:p w14:paraId="0AF371B9" w14:textId="77777777" w:rsidR="00720CC0" w:rsidRDefault="00720CC0" w:rsidP="00CD4614">
      <w:pPr>
        <w:pStyle w:val="IntenseQuote"/>
      </w:pPr>
      <w:r>
        <w:lastRenderedPageBreak/>
        <w:t xml:space="preserve">Table </w:t>
      </w:r>
      <w:r>
        <w:fldChar w:fldCharType="begin"/>
      </w:r>
      <w:r>
        <w:instrText xml:space="preserve"> STYLEREF 1 \s </w:instrText>
      </w:r>
      <w:r>
        <w:fldChar w:fldCharType="separate"/>
      </w:r>
      <w:r w:rsidR="00F006C8">
        <w:rPr>
          <w:noProof/>
        </w:rPr>
        <w:t>1</w:t>
      </w:r>
      <w:r>
        <w:fldChar w:fldCharType="end"/>
      </w:r>
      <w:r>
        <w:t>:</w:t>
      </w:r>
      <w:r>
        <w:fldChar w:fldCharType="begin"/>
      </w:r>
      <w:r>
        <w:instrText xml:space="preserve"> SEQ Table \* ARABIC \s 1 </w:instrText>
      </w:r>
      <w:r>
        <w:fldChar w:fldCharType="separate"/>
      </w:r>
      <w:r w:rsidR="00F006C8">
        <w:rPr>
          <w:noProof/>
        </w:rPr>
        <w:t>1</w:t>
      </w:r>
      <w:r>
        <w:fldChar w:fldCharType="end"/>
      </w:r>
      <w:r>
        <w:t>: Overview of Social Prescribing Models across Essex</w:t>
      </w:r>
    </w:p>
    <w:tbl>
      <w:tblPr>
        <w:tblStyle w:val="ForfasTableGrid1"/>
        <w:tblW w:w="9769" w:type="dxa"/>
        <w:tblLook w:val="04A0" w:firstRow="1" w:lastRow="0" w:firstColumn="1" w:lastColumn="0" w:noHBand="0" w:noVBand="1"/>
      </w:tblPr>
      <w:tblGrid>
        <w:gridCol w:w="1413"/>
        <w:gridCol w:w="8356"/>
      </w:tblGrid>
      <w:tr w:rsidR="00720CC0" w14:paraId="7AEDEE61" w14:textId="77777777" w:rsidTr="00520950">
        <w:trPr>
          <w:cnfStyle w:val="100000000000" w:firstRow="1" w:lastRow="0" w:firstColumn="0" w:lastColumn="0" w:oddVBand="0" w:evenVBand="0" w:oddHBand="0" w:evenHBand="0" w:firstRowFirstColumn="0" w:firstRowLastColumn="0" w:lastRowFirstColumn="0" w:lastRowLastColumn="0"/>
          <w:tblHeader/>
        </w:trPr>
        <w:tc>
          <w:tcPr>
            <w:tcW w:w="1413" w:type="dxa"/>
          </w:tcPr>
          <w:p w14:paraId="385E7005" w14:textId="77777777" w:rsidR="00720CC0" w:rsidRDefault="00720CC0" w:rsidP="00520950">
            <w:pPr>
              <w:pStyle w:val="TableHeading"/>
            </w:pPr>
            <w:r>
              <w:t>Area</w:t>
            </w:r>
          </w:p>
        </w:tc>
        <w:tc>
          <w:tcPr>
            <w:tcW w:w="8356" w:type="dxa"/>
          </w:tcPr>
          <w:p w14:paraId="19FC30EF" w14:textId="77777777" w:rsidR="00720CC0" w:rsidRDefault="00720CC0" w:rsidP="00520950">
            <w:pPr>
              <w:pStyle w:val="TableHeading"/>
            </w:pPr>
            <w:r>
              <w:t xml:space="preserve">Approach </w:t>
            </w:r>
          </w:p>
        </w:tc>
      </w:tr>
      <w:tr w:rsidR="00720CC0" w14:paraId="169C48F6" w14:textId="77777777" w:rsidTr="00520950">
        <w:trPr>
          <w:cnfStyle w:val="000000100000" w:firstRow="0" w:lastRow="0" w:firstColumn="0" w:lastColumn="0" w:oddVBand="0" w:evenVBand="0" w:oddHBand="1" w:evenHBand="0" w:firstRowFirstColumn="0" w:firstRowLastColumn="0" w:lastRowFirstColumn="0" w:lastRowLastColumn="0"/>
        </w:trPr>
        <w:tc>
          <w:tcPr>
            <w:tcW w:w="1413" w:type="dxa"/>
          </w:tcPr>
          <w:p w14:paraId="14DEE9DD" w14:textId="77777777" w:rsidR="00720CC0" w:rsidRDefault="00720CC0" w:rsidP="00520950">
            <w:pPr>
              <w:pStyle w:val="TableParagraph"/>
            </w:pPr>
            <w:bookmarkStart w:id="16" w:name="_Hlk497930674"/>
            <w:r>
              <w:t>Basildon and Brentwood (Social Prescribing project)</w:t>
            </w:r>
          </w:p>
        </w:tc>
        <w:tc>
          <w:tcPr>
            <w:tcW w:w="8356" w:type="dxa"/>
          </w:tcPr>
          <w:p w14:paraId="46BE890B" w14:textId="2FBFD5C1" w:rsidR="00720CC0" w:rsidRPr="00291710" w:rsidRDefault="00720CC0" w:rsidP="002F0DC2">
            <w:pPr>
              <w:pStyle w:val="TableParagraph"/>
            </w:pPr>
            <w:r w:rsidRPr="00EB7145">
              <w:t xml:space="preserve">The Basildon, Billericay and Wickford Council for Voluntary Service (BBWCVS) </w:t>
            </w:r>
            <w:r w:rsidR="002F0DC2">
              <w:t xml:space="preserve">was </w:t>
            </w:r>
            <w:r w:rsidRPr="00EB7145">
              <w:t>commissioned by Basildon and Brentwood CCG to pilot an 18-mont</w:t>
            </w:r>
            <w:r>
              <w:t>h scheme in GP hubs in Pitsea (four GP practices) and Laindon (two</w:t>
            </w:r>
            <w:r w:rsidRPr="00EB7145">
              <w:t xml:space="preserve"> GP practices). The Tile House practice was later added in October 2016 to address the demands/needs of prac</w:t>
            </w:r>
            <w:r>
              <w:t xml:space="preserve">tices within Brentwood. These </w:t>
            </w:r>
            <w:r w:rsidRPr="00EB7145">
              <w:t>areas were selected as they had the highest deprivation levels. Individuals are refe</w:t>
            </w:r>
            <w:r>
              <w:t>rred by GPs, nurses, clinicians or</w:t>
            </w:r>
            <w:r w:rsidRPr="00EB7145">
              <w:t xml:space="preserve"> social care </w:t>
            </w:r>
            <w:r>
              <w:t xml:space="preserve">professionals </w:t>
            </w:r>
            <w:r w:rsidRPr="00EB7145">
              <w:t xml:space="preserve">and then meet with a social prescribing navigator. A Personal Plan is developed and patients are signposted to local provision. </w:t>
            </w:r>
          </w:p>
        </w:tc>
      </w:tr>
      <w:tr w:rsidR="00720CC0" w14:paraId="56C8FEEE" w14:textId="77777777" w:rsidTr="00520950">
        <w:trPr>
          <w:cnfStyle w:val="000000010000" w:firstRow="0" w:lastRow="0" w:firstColumn="0" w:lastColumn="0" w:oddVBand="0" w:evenVBand="0" w:oddHBand="0" w:evenHBand="1" w:firstRowFirstColumn="0" w:firstRowLastColumn="0" w:lastRowFirstColumn="0" w:lastRowLastColumn="0"/>
        </w:trPr>
        <w:tc>
          <w:tcPr>
            <w:tcW w:w="1413" w:type="dxa"/>
          </w:tcPr>
          <w:p w14:paraId="04A7B04E" w14:textId="77777777" w:rsidR="00720CC0" w:rsidRDefault="00720CC0" w:rsidP="00520950">
            <w:pPr>
              <w:pStyle w:val="TableParagraph"/>
            </w:pPr>
            <w:r>
              <w:rPr>
                <w:color w:val="000000" w:themeColor="dark1"/>
              </w:rPr>
              <w:t>Castle Point and Rochford (Ways to Wellness project)</w:t>
            </w:r>
          </w:p>
        </w:tc>
        <w:tc>
          <w:tcPr>
            <w:tcW w:w="8356" w:type="dxa"/>
          </w:tcPr>
          <w:p w14:paraId="302356E3" w14:textId="3286D564" w:rsidR="00720CC0" w:rsidRPr="00291710" w:rsidRDefault="00720CC0" w:rsidP="002F0DC2">
            <w:pPr>
              <w:pStyle w:val="TableParagraph"/>
            </w:pPr>
            <w:r w:rsidRPr="00EB7145">
              <w:t xml:space="preserve">The Castle Point Association of Voluntary Services (CAVS) </w:t>
            </w:r>
            <w:r w:rsidR="002F0DC2">
              <w:t xml:space="preserve">was </w:t>
            </w:r>
            <w:r w:rsidRPr="00EB7145">
              <w:t xml:space="preserve">commissioned by Castle Point and Rochford CCG to pilot a 24-month scheme in 26 GP practices. Individuals who self-refer or are referred by a GP include patients risk stratified as vulnerable (via care coordination), frequent attenders, carers, and those that are socially isolated. They meet with a </w:t>
            </w:r>
            <w:r w:rsidR="002D5FA9" w:rsidRPr="00EB7145">
              <w:t xml:space="preserve">Social Prescribing </w:t>
            </w:r>
            <w:r w:rsidRPr="00EB7145">
              <w:t xml:space="preserve">navigator, a Personal Plan is developed and patients are then signposted to local provision. </w:t>
            </w:r>
          </w:p>
        </w:tc>
      </w:tr>
      <w:tr w:rsidR="00720CC0" w14:paraId="030867C9" w14:textId="77777777" w:rsidTr="00520950">
        <w:trPr>
          <w:cnfStyle w:val="000000100000" w:firstRow="0" w:lastRow="0" w:firstColumn="0" w:lastColumn="0" w:oddVBand="0" w:evenVBand="0" w:oddHBand="1" w:evenHBand="0" w:firstRowFirstColumn="0" w:firstRowLastColumn="0" w:lastRowFirstColumn="0" w:lastRowLastColumn="0"/>
        </w:trPr>
        <w:tc>
          <w:tcPr>
            <w:tcW w:w="1413" w:type="dxa"/>
          </w:tcPr>
          <w:p w14:paraId="77E8E0B3" w14:textId="77777777" w:rsidR="00720CC0" w:rsidRDefault="00720CC0" w:rsidP="00520950">
            <w:pPr>
              <w:pStyle w:val="TableParagraph"/>
            </w:pPr>
            <w:r>
              <w:rPr>
                <w:color w:val="000000" w:themeColor="dark1"/>
              </w:rPr>
              <w:t>Mid Essex (Connect Well project)</w:t>
            </w:r>
          </w:p>
        </w:tc>
        <w:tc>
          <w:tcPr>
            <w:tcW w:w="8356" w:type="dxa"/>
          </w:tcPr>
          <w:p w14:paraId="3C0136FA" w14:textId="55B876E0" w:rsidR="00720CC0" w:rsidRDefault="00720CC0" w:rsidP="00520950">
            <w:pPr>
              <w:pStyle w:val="TableParagraph"/>
            </w:pPr>
            <w:r w:rsidRPr="00EB7145">
              <w:t xml:space="preserve">Chelmsford CVS </w:t>
            </w:r>
            <w:r w:rsidR="002F0DC2">
              <w:t>was</w:t>
            </w:r>
            <w:r w:rsidR="00802B05">
              <w:t xml:space="preserve"> commissioned</w:t>
            </w:r>
            <w:r w:rsidR="002F0DC2">
              <w:t xml:space="preserve"> by </w:t>
            </w:r>
            <w:r w:rsidRPr="00EB7145">
              <w:t xml:space="preserve">Mid Essex CCG to implement a </w:t>
            </w:r>
            <w:r>
              <w:t>‘</w:t>
            </w:r>
            <w:r w:rsidRPr="00EB7145">
              <w:t>whole population approach</w:t>
            </w:r>
            <w:r>
              <w:t>’</w:t>
            </w:r>
            <w:r w:rsidRPr="00EB7145">
              <w:t xml:space="preserve"> to Social Prescribing that operates at two levels: </w:t>
            </w:r>
          </w:p>
          <w:p w14:paraId="15A6E9B8" w14:textId="645BD7C0" w:rsidR="00720CC0" w:rsidRDefault="00720CC0" w:rsidP="002D5FA9">
            <w:pPr>
              <w:pStyle w:val="Tablebullet"/>
            </w:pPr>
            <w:r w:rsidRPr="00EB7145">
              <w:t>Level 1: S</w:t>
            </w:r>
            <w:r w:rsidR="00BD1EAB">
              <w:t xml:space="preserve">ocial </w:t>
            </w:r>
            <w:r w:rsidRPr="00EB7145">
              <w:t>P</w:t>
            </w:r>
            <w:r w:rsidR="00BD1EAB">
              <w:t xml:space="preserve">rescribing </w:t>
            </w:r>
            <w:r w:rsidRPr="00EB7145">
              <w:t>C</w:t>
            </w:r>
            <w:r w:rsidR="00BD1EAB">
              <w:t>hampion</w:t>
            </w:r>
            <w:r w:rsidRPr="00EB7145">
              <w:t>s facilitate signposting across a number of local</w:t>
            </w:r>
            <w:r>
              <w:t xml:space="preserve"> organisations. </w:t>
            </w:r>
          </w:p>
          <w:p w14:paraId="3F60E39A" w14:textId="5F8F9203" w:rsidR="00720CC0" w:rsidRPr="00291710" w:rsidRDefault="00720CC0" w:rsidP="002D5FA9">
            <w:pPr>
              <w:pStyle w:val="Tablebullet"/>
            </w:pPr>
            <w:r>
              <w:t>Level 2: A</w:t>
            </w:r>
            <w:r w:rsidRPr="00EB7145">
              <w:t xml:space="preserve"> team of Social Prescribers</w:t>
            </w:r>
            <w:r w:rsidR="00802B05">
              <w:t xml:space="preserve">, funded by ECC through PROVIDE Essex Lifestyle Team, </w:t>
            </w:r>
            <w:r w:rsidRPr="00EB7145">
              <w:t xml:space="preserve">manage higher level Social Prescribing interventions with more complex and vulnerable people. At level 2 once patients are referred by a SPC they are entitled to a maximum of </w:t>
            </w:r>
            <w:r w:rsidR="00802B05">
              <w:t>6</w:t>
            </w:r>
            <w:r w:rsidRPr="00EB7145">
              <w:t xml:space="preserve"> sessions with a </w:t>
            </w:r>
            <w:r w:rsidR="00802B05">
              <w:t>Lifestyle Coach</w:t>
            </w:r>
            <w:r w:rsidRPr="00EB7145">
              <w:t>,</w:t>
            </w:r>
            <w:r w:rsidR="00E17E97">
              <w:t xml:space="preserve"> </w:t>
            </w:r>
            <w:r w:rsidRPr="00EB7145">
              <w:t>either face-to-face or via email or telephone</w:t>
            </w:r>
            <w:r>
              <w:t>,</w:t>
            </w:r>
            <w:r w:rsidRPr="00EB7145">
              <w:t xml:space="preserve"> and are provided with</w:t>
            </w:r>
            <w:r>
              <w:t xml:space="preserve"> assistance with issues such as</w:t>
            </w:r>
            <w:r w:rsidRPr="00EB7145">
              <w:t xml:space="preserve"> increasing their self-esteem and becoming more self-sufficient. </w:t>
            </w:r>
          </w:p>
        </w:tc>
      </w:tr>
      <w:tr w:rsidR="00720CC0" w14:paraId="75ABDAA3" w14:textId="77777777" w:rsidTr="00520950">
        <w:trPr>
          <w:cnfStyle w:val="000000010000" w:firstRow="0" w:lastRow="0" w:firstColumn="0" w:lastColumn="0" w:oddVBand="0" w:evenVBand="0" w:oddHBand="0" w:evenHBand="1" w:firstRowFirstColumn="0" w:firstRowLastColumn="0" w:lastRowFirstColumn="0" w:lastRowLastColumn="0"/>
        </w:trPr>
        <w:tc>
          <w:tcPr>
            <w:tcW w:w="1413" w:type="dxa"/>
          </w:tcPr>
          <w:p w14:paraId="74823F84" w14:textId="77777777" w:rsidR="00720CC0" w:rsidRDefault="00720CC0" w:rsidP="00520950">
            <w:pPr>
              <w:pStyle w:val="TableParagraph"/>
            </w:pPr>
            <w:r>
              <w:rPr>
                <w:color w:val="000000" w:themeColor="dark1"/>
              </w:rPr>
              <w:t>North East Tendring (Mental Health Hub)</w:t>
            </w:r>
          </w:p>
        </w:tc>
        <w:tc>
          <w:tcPr>
            <w:tcW w:w="8356" w:type="dxa"/>
          </w:tcPr>
          <w:p w14:paraId="43CB9F52" w14:textId="2EB7DC49" w:rsidR="00720CC0" w:rsidRPr="00291710" w:rsidRDefault="00720CC0" w:rsidP="002D5FA9">
            <w:pPr>
              <w:pStyle w:val="TableParagraph"/>
            </w:pPr>
            <w:r>
              <w:t xml:space="preserve">Citizens Advice Bureau Tendring </w:t>
            </w:r>
            <w:r w:rsidR="00BD1EAB">
              <w:t xml:space="preserve">was </w:t>
            </w:r>
            <w:r>
              <w:t>provided with funding by</w:t>
            </w:r>
            <w:r w:rsidR="002F0DC2">
              <w:t xml:space="preserve"> Essex County Council</w:t>
            </w:r>
            <w:r w:rsidR="00ED58F0">
              <w:t xml:space="preserve">, </w:t>
            </w:r>
            <w:r>
              <w:t>North East Essex CCG</w:t>
            </w:r>
            <w:r w:rsidR="002F0DC2">
              <w:t xml:space="preserve">, Office Police and Crime </w:t>
            </w:r>
            <w:r w:rsidR="00ED58F0">
              <w:t>Commissioner</w:t>
            </w:r>
            <w:r w:rsidR="002F0DC2">
              <w:t xml:space="preserve"> and Tendring District </w:t>
            </w:r>
            <w:r w:rsidR="002D5FA9">
              <w:t>Council to</w:t>
            </w:r>
            <w:r>
              <w:t xml:space="preserve"> provide a</w:t>
            </w:r>
            <w:r w:rsidRPr="00291710">
              <w:t xml:space="preserve"> mental health hub </w:t>
            </w:r>
            <w:r>
              <w:t xml:space="preserve">as </w:t>
            </w:r>
            <w:r w:rsidR="002D5FA9">
              <w:t>a single point for referral (</w:t>
            </w:r>
            <w:r w:rsidRPr="00291710">
              <w:t xml:space="preserve">from GPs, police, other parts of CAB, and other stakeholders in the community). The process involves a holistic assessment of the individual’s needs and they are then signposted to relevant services/supports. </w:t>
            </w:r>
          </w:p>
        </w:tc>
      </w:tr>
      <w:tr w:rsidR="00720CC0" w14:paraId="7401432C" w14:textId="77777777" w:rsidTr="00520950">
        <w:trPr>
          <w:cnfStyle w:val="000000100000" w:firstRow="0" w:lastRow="0" w:firstColumn="0" w:lastColumn="0" w:oddVBand="0" w:evenVBand="0" w:oddHBand="1" w:evenHBand="0" w:firstRowFirstColumn="0" w:firstRowLastColumn="0" w:lastRowFirstColumn="0" w:lastRowLastColumn="0"/>
        </w:trPr>
        <w:tc>
          <w:tcPr>
            <w:tcW w:w="1413" w:type="dxa"/>
          </w:tcPr>
          <w:p w14:paraId="5CEF94DA" w14:textId="77777777" w:rsidR="00720CC0" w:rsidRPr="00EB7145" w:rsidRDefault="00720CC0" w:rsidP="00520950">
            <w:pPr>
              <w:pStyle w:val="TableParagraph"/>
            </w:pPr>
            <w:r w:rsidRPr="00EB7145">
              <w:t>North East Colchester</w:t>
            </w:r>
            <w:r>
              <w:t xml:space="preserve"> (My Social Prescription project)</w:t>
            </w:r>
          </w:p>
        </w:tc>
        <w:tc>
          <w:tcPr>
            <w:tcW w:w="8356" w:type="dxa"/>
          </w:tcPr>
          <w:p w14:paraId="6E2E4FED" w14:textId="0E07529F" w:rsidR="00720CC0" w:rsidRDefault="00720CC0" w:rsidP="00520950">
            <w:pPr>
              <w:pStyle w:val="TableParagraph"/>
            </w:pPr>
            <w:r>
              <w:t>Colchester Community Voluntary Services (CCVS) w</w:t>
            </w:r>
            <w:r w:rsidR="002F0DC2">
              <w:t>as</w:t>
            </w:r>
            <w:r w:rsidR="00ED58F0">
              <w:t xml:space="preserve"> </w:t>
            </w:r>
            <w:r w:rsidR="002F0DC2">
              <w:t xml:space="preserve">provided with funding </w:t>
            </w:r>
            <w:r>
              <w:t xml:space="preserve">by </w:t>
            </w:r>
            <w:r w:rsidR="002F0DC2">
              <w:t xml:space="preserve">Essex County Council and </w:t>
            </w:r>
            <w:r>
              <w:t xml:space="preserve">North East Essex CCG to implement a combined Community Builders and Social Prescribing model. The </w:t>
            </w:r>
            <w:r w:rsidRPr="00EC54D3">
              <w:t xml:space="preserve">Social Prescribing model </w:t>
            </w:r>
            <w:r>
              <w:t>focuses on supporting people with long term health conditions and receives referrals from a number of sources including social workers, clinicians, carers/ family or self-referrals. There are two types of support provided:</w:t>
            </w:r>
          </w:p>
          <w:p w14:paraId="01BD240C" w14:textId="77777777" w:rsidR="00720CC0" w:rsidRDefault="00720CC0" w:rsidP="00520950">
            <w:pPr>
              <w:pStyle w:val="Tablebullet"/>
            </w:pPr>
            <w:r>
              <w:t>Contacts – “quick win conversations” where the requirements are smaller / more focused and are often achieved at the outreach location (i.e. a direct referral on to a volunteer opportunity or a community group where a social prescriber is no longer needed to provide guidance).</w:t>
            </w:r>
          </w:p>
          <w:p w14:paraId="501C9808" w14:textId="77777777" w:rsidR="00720CC0" w:rsidRPr="00EB7145" w:rsidRDefault="00720CC0" w:rsidP="00520950">
            <w:pPr>
              <w:pStyle w:val="Tablebullet"/>
            </w:pPr>
            <w:r>
              <w:t xml:space="preserve">Detailed conversations – SPCs provide more intensive support and develop a set of </w:t>
            </w:r>
            <w:r>
              <w:lastRenderedPageBreak/>
              <w:t xml:space="preserve">options with our service users. Following a discussion with a social prescriber, recommendations are made to programmes, volunteers and resources and the service user is provided with contact details and further information. </w:t>
            </w:r>
          </w:p>
        </w:tc>
      </w:tr>
      <w:tr w:rsidR="00720CC0" w14:paraId="2E843395" w14:textId="77777777" w:rsidTr="00520950">
        <w:trPr>
          <w:cnfStyle w:val="000000010000" w:firstRow="0" w:lastRow="0" w:firstColumn="0" w:lastColumn="0" w:oddVBand="0" w:evenVBand="0" w:oddHBand="0" w:evenHBand="1" w:firstRowFirstColumn="0" w:firstRowLastColumn="0" w:lastRowFirstColumn="0" w:lastRowLastColumn="0"/>
        </w:trPr>
        <w:tc>
          <w:tcPr>
            <w:tcW w:w="1413" w:type="dxa"/>
          </w:tcPr>
          <w:p w14:paraId="6F7ADEC6" w14:textId="77777777" w:rsidR="00720CC0" w:rsidRPr="00EB7145" w:rsidRDefault="00720CC0" w:rsidP="00520950">
            <w:pPr>
              <w:pStyle w:val="TableParagraph"/>
            </w:pPr>
            <w:r w:rsidRPr="00EB7145">
              <w:lastRenderedPageBreak/>
              <w:t>West Essex</w:t>
            </w:r>
            <w:r>
              <w:t xml:space="preserve"> (Smart Life project)</w:t>
            </w:r>
          </w:p>
        </w:tc>
        <w:tc>
          <w:tcPr>
            <w:tcW w:w="8356" w:type="dxa"/>
          </w:tcPr>
          <w:p w14:paraId="57C1526E" w14:textId="472E05A1" w:rsidR="00720CC0" w:rsidRPr="00EB7145" w:rsidRDefault="00720CC0" w:rsidP="002E131B">
            <w:pPr>
              <w:pStyle w:val="TableParagraph"/>
            </w:pPr>
            <w:r w:rsidRPr="00EB7145">
              <w:t>Age UK Essex w</w:t>
            </w:r>
            <w:r w:rsidR="00E17E97">
              <w:t>as</w:t>
            </w:r>
            <w:r w:rsidRPr="00EB7145">
              <w:t xml:space="preserve"> commissioned by West Essex CCG to deliver a </w:t>
            </w:r>
            <w:r>
              <w:t>Social Prescribing project</w:t>
            </w:r>
            <w:r w:rsidRPr="00EB7145">
              <w:t xml:space="preserve"> </w:t>
            </w:r>
            <w:r>
              <w:t>focused</w:t>
            </w:r>
            <w:r w:rsidRPr="00EB7145">
              <w:t xml:space="preserve"> on </w:t>
            </w:r>
            <w:r>
              <w:t xml:space="preserve">high intensity users of primary, </w:t>
            </w:r>
            <w:r w:rsidRPr="00EB7145">
              <w:t xml:space="preserve">secondary </w:t>
            </w:r>
            <w:r>
              <w:t>and/or social care services. It cover</w:t>
            </w:r>
            <w:r w:rsidR="002D5FA9">
              <w:t>ed</w:t>
            </w:r>
            <w:r>
              <w:t xml:space="preserve"> four</w:t>
            </w:r>
            <w:r w:rsidRPr="00EB7145">
              <w:t xml:space="preserve"> GP practices across West Essex and </w:t>
            </w:r>
            <w:r w:rsidR="002D5FA9">
              <w:t>was</w:t>
            </w:r>
            <w:r w:rsidRPr="00EB7145">
              <w:t xml:space="preserve"> based on the Age UK model in Cornwall. A Personal Independence Coordinator (PIC) receive</w:t>
            </w:r>
            <w:r w:rsidR="002D5FA9">
              <w:t>d</w:t>
            </w:r>
            <w:r w:rsidRPr="00EB7145">
              <w:t xml:space="preserve"> referrals from doctors, nurses, receptionists, and community staff. Following referral, the PIC </w:t>
            </w:r>
            <w:r w:rsidR="002E131B">
              <w:t>had</w:t>
            </w:r>
            <w:r w:rsidRPr="00EB7145">
              <w:t xml:space="preserve"> a ‘clinic’ or </w:t>
            </w:r>
            <w:r w:rsidR="002E131B">
              <w:t xml:space="preserve">home visit with the individual and </w:t>
            </w:r>
            <w:r w:rsidRPr="00EB7145">
              <w:t>services that already exist</w:t>
            </w:r>
            <w:r w:rsidR="002E131B">
              <w:t>ed</w:t>
            </w:r>
            <w:r w:rsidRPr="00EB7145">
              <w:t xml:space="preserve"> locally </w:t>
            </w:r>
            <w:r w:rsidR="002E131B">
              <w:t>were identified to</w:t>
            </w:r>
            <w:r w:rsidRPr="00EB7145">
              <w:t xml:space="preserve"> form part of the ‘wrap around’ </w:t>
            </w:r>
            <w:r w:rsidR="002E131B">
              <w:t xml:space="preserve">service </w:t>
            </w:r>
            <w:r w:rsidRPr="00EB7145">
              <w:t xml:space="preserve">and </w:t>
            </w:r>
            <w:r w:rsidR="002E131B">
              <w:t xml:space="preserve">a plan was </w:t>
            </w:r>
            <w:r w:rsidRPr="00EB7145">
              <w:t>tailored to the specific needs of an individual. Those who require</w:t>
            </w:r>
            <w:r w:rsidR="002E131B">
              <w:t>d</w:t>
            </w:r>
            <w:r w:rsidRPr="00EB7145">
              <w:t xml:space="preserve"> more intensive support participate</w:t>
            </w:r>
            <w:r w:rsidR="002E131B">
              <w:t>d</w:t>
            </w:r>
            <w:r w:rsidRPr="00EB7145">
              <w:t xml:space="preserve"> in a ‘guided conversation’ to identify their goals and </w:t>
            </w:r>
            <w:r w:rsidR="002E131B">
              <w:t>were then</w:t>
            </w:r>
            <w:r w:rsidRPr="00EB7145">
              <w:t xml:space="preserve"> matched with a Personal Independence Planner (PIP) (volunteer) to support them to achieve these goals. </w:t>
            </w:r>
          </w:p>
        </w:tc>
      </w:tr>
      <w:bookmarkEnd w:id="16"/>
      <w:tr w:rsidR="00720CC0" w14:paraId="3043B823" w14:textId="77777777" w:rsidTr="00520950">
        <w:trPr>
          <w:cnfStyle w:val="000000100000" w:firstRow="0" w:lastRow="0" w:firstColumn="0" w:lastColumn="0" w:oddVBand="0" w:evenVBand="0" w:oddHBand="1" w:evenHBand="0" w:firstRowFirstColumn="0" w:firstRowLastColumn="0" w:lastRowFirstColumn="0" w:lastRowLastColumn="0"/>
        </w:trPr>
        <w:tc>
          <w:tcPr>
            <w:tcW w:w="1413" w:type="dxa"/>
          </w:tcPr>
          <w:p w14:paraId="20BBAB01" w14:textId="07550E50" w:rsidR="00720CC0" w:rsidRPr="00EB7145" w:rsidRDefault="00720CC0" w:rsidP="00520950">
            <w:pPr>
              <w:pStyle w:val="TableParagraph"/>
            </w:pPr>
            <w:r w:rsidRPr="00EB7145">
              <w:t>Southend</w:t>
            </w:r>
          </w:p>
        </w:tc>
        <w:tc>
          <w:tcPr>
            <w:tcW w:w="8356" w:type="dxa"/>
          </w:tcPr>
          <w:p w14:paraId="5A9C10F7" w14:textId="4D3F5704" w:rsidR="00720CC0" w:rsidRPr="00EB7145" w:rsidRDefault="00720CC0" w:rsidP="00E17E97">
            <w:pPr>
              <w:pStyle w:val="TableParagraph"/>
            </w:pPr>
            <w:r>
              <w:t>Southend Association of Voluntary Services w</w:t>
            </w:r>
            <w:r w:rsidR="00E17E97">
              <w:t>as</w:t>
            </w:r>
            <w:r>
              <w:t xml:space="preserve"> </w:t>
            </w:r>
            <w:r w:rsidR="002F0DC2">
              <w:t xml:space="preserve">provided with </w:t>
            </w:r>
            <w:r w:rsidR="00E17E97">
              <w:t>Transformation Challenge f</w:t>
            </w:r>
            <w:r w:rsidR="002F0DC2">
              <w:t xml:space="preserve">unding by Essex County Council and </w:t>
            </w:r>
            <w:r>
              <w:t xml:space="preserve">Southend </w:t>
            </w:r>
            <w:r w:rsidR="002F0DC2">
              <w:t xml:space="preserve">Public Health </w:t>
            </w:r>
            <w:r w:rsidR="00E17E97">
              <w:t xml:space="preserve">funds </w:t>
            </w:r>
            <w:r>
              <w:t xml:space="preserve">to deliver a Social Prescribing model that </w:t>
            </w:r>
            <w:r w:rsidRPr="00EB7145">
              <w:t xml:space="preserve">focused on patients with specific </w:t>
            </w:r>
            <w:r w:rsidR="00C70808" w:rsidRPr="00EB7145">
              <w:t>long-term</w:t>
            </w:r>
            <w:r w:rsidRPr="00EB7145">
              <w:t xml:space="preserve"> conditions and was linked to an existing piece of work delivered by Public Health – PAM (Patient Activation Measures). Patients identified through the PAM met the Social Prescriber to explore their desired outcomes and a person</w:t>
            </w:r>
            <w:r>
              <w:t xml:space="preserve">al plan was agreed. </w:t>
            </w:r>
            <w:r w:rsidRPr="00EB7145">
              <w:t xml:space="preserve">Patients were supported and followed up as required </w:t>
            </w:r>
            <w:r>
              <w:t xml:space="preserve">to enable them to access these </w:t>
            </w:r>
            <w:r w:rsidRPr="00EB7145">
              <w:t xml:space="preserve">and further services as necessary. Alongside the prescriptions were Quality Awards to develop the quality and capacity of the VCS and a tariff pot to pay for some prescriptions. </w:t>
            </w:r>
          </w:p>
        </w:tc>
      </w:tr>
    </w:tbl>
    <w:p w14:paraId="30FBD97A" w14:textId="77777777" w:rsidR="00720CC0" w:rsidRDefault="00720CC0" w:rsidP="00720CC0">
      <w:pPr>
        <w:pStyle w:val="BodyText-italics"/>
      </w:pPr>
    </w:p>
    <w:p w14:paraId="48D2F117" w14:textId="77777777" w:rsidR="00720CC0" w:rsidRDefault="00720CC0" w:rsidP="00720CC0">
      <w:pPr>
        <w:pStyle w:val="BodyText-italics"/>
      </w:pPr>
      <w:r>
        <w:t>Across the seven Social Prescribing models:</w:t>
      </w:r>
    </w:p>
    <w:p w14:paraId="5F77DC0A" w14:textId="77777777" w:rsidR="00720CC0" w:rsidRDefault="00720CC0" w:rsidP="00D53262">
      <w:pPr>
        <w:pStyle w:val="ListParagraph"/>
      </w:pPr>
      <w:r>
        <w:t>5,461 people were referred to the projects, of whom 5,251 were supported</w:t>
      </w:r>
      <w:r>
        <w:rPr>
          <w:rStyle w:val="FootnoteReference"/>
        </w:rPr>
        <w:footnoteReference w:id="8"/>
      </w:r>
      <w:r>
        <w:t xml:space="preserve"> and 2,552 were ‘substantive engagements’ </w:t>
      </w:r>
      <w:r w:rsidRPr="0091520F">
        <w:t>(i.e. received more intensive support)</w:t>
      </w:r>
      <w:r>
        <w:t>; and</w:t>
      </w:r>
    </w:p>
    <w:p w14:paraId="14415FED" w14:textId="77777777" w:rsidR="00720CC0" w:rsidRDefault="00720CC0" w:rsidP="00D53262">
      <w:pPr>
        <w:pStyle w:val="ListParagraph"/>
      </w:pPr>
      <w:r>
        <w:t>The most common type of services referred to included</w:t>
      </w:r>
      <w:r w:rsidRPr="00966A86">
        <w:rPr>
          <w:lang w:val="en-GB" w:eastAsia="en-GB"/>
        </w:rPr>
        <w:t xml:space="preserve"> clubs / leisure activities; community transport; carers services and befriending. Other services </w:t>
      </w:r>
      <w:r>
        <w:rPr>
          <w:lang w:val="en-GB" w:eastAsia="en-GB"/>
        </w:rPr>
        <w:t xml:space="preserve">provided included </w:t>
      </w:r>
      <w:r w:rsidRPr="00966A86">
        <w:rPr>
          <w:lang w:val="en-GB" w:eastAsia="en-GB"/>
        </w:rPr>
        <w:t>volunteering (My Social Prescription</w:t>
      </w:r>
      <w:r>
        <w:rPr>
          <w:lang w:val="en-GB" w:eastAsia="en-GB"/>
        </w:rPr>
        <w:t>); Single Point of Access for occupational therapy</w:t>
      </w:r>
      <w:r w:rsidRPr="00966A86">
        <w:rPr>
          <w:lang w:val="en-GB" w:eastAsia="en-GB"/>
        </w:rPr>
        <w:t>, falls team and dietician etc. and adult social care (Smart Life); and housing / financial advice (Basildon and Brentwood Social Prescribing project).</w:t>
      </w:r>
    </w:p>
    <w:p w14:paraId="2B09B6FA" w14:textId="77777777" w:rsidR="00720CC0" w:rsidRDefault="00720CC0" w:rsidP="00720CC0"/>
    <w:p w14:paraId="2EBD7149" w14:textId="77777777" w:rsidR="00720CC0" w:rsidRDefault="00720CC0" w:rsidP="00720CC0"/>
    <w:p w14:paraId="34AFB68A" w14:textId="77777777" w:rsidR="00720CC0" w:rsidRDefault="00720CC0" w:rsidP="00720CC0"/>
    <w:p w14:paraId="53FAAEBD" w14:textId="77777777" w:rsidR="00720CC0" w:rsidRDefault="00720CC0" w:rsidP="00720CC0"/>
    <w:p w14:paraId="45D8A930" w14:textId="77777777" w:rsidR="00720CC0" w:rsidRDefault="00720CC0" w:rsidP="00720CC0">
      <w:pPr>
        <w:pStyle w:val="Heading2"/>
        <w:numPr>
          <w:ilvl w:val="1"/>
          <w:numId w:val="1"/>
        </w:numPr>
        <w:tabs>
          <w:tab w:val="clear" w:pos="3349"/>
          <w:tab w:val="num" w:pos="567"/>
        </w:tabs>
        <w:ind w:left="567" w:hanging="567"/>
      </w:pPr>
      <w:bookmarkStart w:id="17" w:name="_Toc497934255"/>
      <w:r>
        <w:lastRenderedPageBreak/>
        <w:t>Methodology</w:t>
      </w:r>
      <w:bookmarkEnd w:id="17"/>
    </w:p>
    <w:p w14:paraId="23DF6C28" w14:textId="77777777" w:rsidR="00720CC0" w:rsidRDefault="00720CC0" w:rsidP="00D465F1">
      <w:pPr>
        <w:pStyle w:val="Heading3"/>
      </w:pPr>
      <w:r>
        <w:t xml:space="preserve">Methodology Overview </w:t>
      </w:r>
    </w:p>
    <w:p w14:paraId="4D450C94" w14:textId="77777777" w:rsidR="00720CC0" w:rsidRDefault="00720CC0" w:rsidP="00AE785D">
      <w:pPr>
        <w:pStyle w:val="BodyText-parastyle"/>
      </w:pPr>
      <w:r>
        <w:t>The evaluation methodology involved:</w:t>
      </w:r>
    </w:p>
    <w:p w14:paraId="6D005FA2" w14:textId="77777777" w:rsidR="00720CC0" w:rsidRDefault="00720CC0" w:rsidP="00D53262">
      <w:pPr>
        <w:pStyle w:val="ListParagraph"/>
      </w:pPr>
      <w:r w:rsidRPr="003C5781">
        <w:rPr>
          <w:color w:val="00B0F0"/>
        </w:rPr>
        <w:t>Desk research</w:t>
      </w:r>
      <w:r>
        <w:t xml:space="preserve"> - brief review of relevant policy documents, desk review of project management / performance data and analysis of expenditure against budget</w:t>
      </w:r>
    </w:p>
    <w:p w14:paraId="4261A9D6" w14:textId="77777777" w:rsidR="00720CC0" w:rsidRPr="00290B36" w:rsidRDefault="00720CC0" w:rsidP="00D53262">
      <w:pPr>
        <w:pStyle w:val="ListParagraph"/>
      </w:pPr>
      <w:r w:rsidRPr="00290B36">
        <w:rPr>
          <w:color w:val="00B0F0"/>
        </w:rPr>
        <w:t>Development of data collection tools</w:t>
      </w:r>
      <w:r>
        <w:t xml:space="preserve"> – development of a baseline and follow-up survey for</w:t>
      </w:r>
      <w:r w:rsidRPr="003C5781">
        <w:t xml:space="preserve"> </w:t>
      </w:r>
      <w:r w:rsidRPr="00F045E6">
        <w:t>patients / clients that received support after 18 July 2016 (date established for commencement o</w:t>
      </w:r>
      <w:r>
        <w:t xml:space="preserve">f the baseline questionnaire) to </w:t>
      </w:r>
      <w:r w:rsidRPr="003C5781">
        <w:t xml:space="preserve">gather information on health and </w:t>
      </w:r>
      <w:r w:rsidRPr="000D10F7">
        <w:t xml:space="preserve">wellbeing prior </w:t>
      </w:r>
      <w:r>
        <w:t xml:space="preserve">to </w:t>
      </w:r>
      <w:r w:rsidRPr="000D10F7">
        <w:t xml:space="preserve">and after receiving support from the </w:t>
      </w:r>
      <w:r>
        <w:t xml:space="preserve">Social Prescribing </w:t>
      </w:r>
      <w:r w:rsidRPr="000D10F7">
        <w:t>service</w:t>
      </w:r>
    </w:p>
    <w:p w14:paraId="37BD4472" w14:textId="188F2DF0" w:rsidR="00720CC0" w:rsidRDefault="00720CC0" w:rsidP="00D53262">
      <w:pPr>
        <w:pStyle w:val="ListParagraph"/>
      </w:pPr>
      <w:r w:rsidRPr="000D10F7">
        <w:rPr>
          <w:color w:val="00B0F0"/>
        </w:rPr>
        <w:t>Consultation / surveys with service users</w:t>
      </w:r>
      <w:r>
        <w:t xml:space="preserve"> - q</w:t>
      </w:r>
      <w:r w:rsidRPr="000D10F7">
        <w:t xml:space="preserve">uantitative data </w:t>
      </w:r>
      <w:r>
        <w:t xml:space="preserve">and feedback was obtained </w:t>
      </w:r>
      <w:r w:rsidRPr="000D10F7">
        <w:t xml:space="preserve">from </w:t>
      </w:r>
      <w:r>
        <w:t xml:space="preserve">service </w:t>
      </w:r>
      <w:r w:rsidR="00C70808">
        <w:t xml:space="preserve">users </w:t>
      </w:r>
      <w:r w:rsidR="00C70808" w:rsidRPr="000D10F7">
        <w:t>(</w:t>
      </w:r>
      <w:r w:rsidRPr="000D10F7">
        <w:t>who provided consent)</w:t>
      </w:r>
      <w:r>
        <w:t xml:space="preserve"> by completion of a survey</w:t>
      </w:r>
      <w:r w:rsidRPr="000D10F7">
        <w:t xml:space="preserve"> on joining the project and again </w:t>
      </w:r>
      <w:r>
        <w:t>three</w:t>
      </w:r>
      <w:r w:rsidRPr="000D10F7">
        <w:t xml:space="preserve"> months later</w:t>
      </w:r>
    </w:p>
    <w:p w14:paraId="72F78AC0" w14:textId="77777777" w:rsidR="00720CC0" w:rsidRDefault="00720CC0" w:rsidP="00D53262">
      <w:pPr>
        <w:pStyle w:val="ListParagraph"/>
      </w:pPr>
      <w:r w:rsidRPr="000D10F7">
        <w:rPr>
          <w:color w:val="00B0F0"/>
        </w:rPr>
        <w:t>Interviews with key stakeholders</w:t>
      </w:r>
      <w:r>
        <w:t xml:space="preserve"> - i</w:t>
      </w:r>
      <w:r w:rsidRPr="000D10F7">
        <w:t>nterviews were carried out with key stakeholders for each project, including partners and those that had made referrals to the project to obtain their feedback on the outcomes and impacts achieved, what has worked well and any areas for development. Detailed findings for each project are included in the individual project reports</w:t>
      </w:r>
    </w:p>
    <w:p w14:paraId="1D92D094" w14:textId="77777777" w:rsidR="00720CC0" w:rsidRDefault="00720CC0" w:rsidP="00D53262">
      <w:pPr>
        <w:pStyle w:val="ListParagraph"/>
      </w:pPr>
      <w:r w:rsidRPr="000D10F7">
        <w:rPr>
          <w:color w:val="00B0F0"/>
        </w:rPr>
        <w:t>Development of case studies</w:t>
      </w:r>
      <w:r>
        <w:t xml:space="preserve"> - case studies were developed to </w:t>
      </w:r>
      <w:r w:rsidRPr="00983C71">
        <w:t>highlight impact</w:t>
      </w:r>
      <w:r>
        <w:t>s on individual service users</w:t>
      </w:r>
    </w:p>
    <w:p w14:paraId="245875BD" w14:textId="77777777" w:rsidR="00720CC0" w:rsidRDefault="00720CC0" w:rsidP="00D53262">
      <w:pPr>
        <w:pStyle w:val="ListParagraph"/>
      </w:pPr>
      <w:r w:rsidRPr="000D10F7">
        <w:rPr>
          <w:color w:val="00B0F0"/>
        </w:rPr>
        <w:t>Analysis of cost, economic and social impacts</w:t>
      </w:r>
      <w:r>
        <w:t xml:space="preserve"> - the impact on primary,</w:t>
      </w:r>
      <w:r w:rsidRPr="000D10F7">
        <w:t xml:space="preserve"> secondary </w:t>
      </w:r>
      <w:r>
        <w:t xml:space="preserve">and social </w:t>
      </w:r>
      <w:r w:rsidRPr="000D10F7">
        <w:t xml:space="preserve">care </w:t>
      </w:r>
      <w:r>
        <w:t>service use and the associated</w:t>
      </w:r>
      <w:r w:rsidRPr="000D10F7">
        <w:t xml:space="preserve"> cost savings generated </w:t>
      </w:r>
      <w:r>
        <w:t xml:space="preserve">were analysed </w:t>
      </w:r>
      <w:r w:rsidRPr="000D10F7">
        <w:t>using the Manchester New Economy database</w:t>
      </w:r>
    </w:p>
    <w:p w14:paraId="70A9A16F" w14:textId="77777777" w:rsidR="00720CC0" w:rsidRDefault="00720CC0" w:rsidP="00D53262">
      <w:pPr>
        <w:pStyle w:val="ListParagraph"/>
      </w:pPr>
      <w:r w:rsidRPr="000D10F7">
        <w:t>Development of recommendations for future Social Prescribing models</w:t>
      </w:r>
      <w:r>
        <w:t xml:space="preserve"> - d</w:t>
      </w:r>
      <w:r w:rsidRPr="000D10F7">
        <w:t xml:space="preserve">evelopment of draft and final project </w:t>
      </w:r>
      <w:r>
        <w:t xml:space="preserve">and programme </w:t>
      </w:r>
      <w:r w:rsidRPr="000D10F7">
        <w:t xml:space="preserve">reports </w:t>
      </w:r>
    </w:p>
    <w:p w14:paraId="36A30DFF" w14:textId="77777777" w:rsidR="00720CC0" w:rsidRDefault="00720CC0" w:rsidP="00D465F1">
      <w:pPr>
        <w:pStyle w:val="Heading3"/>
      </w:pPr>
      <w:r>
        <w:t>Methodology / Evaluation Challenges</w:t>
      </w:r>
    </w:p>
    <w:p w14:paraId="285CAE0E" w14:textId="77777777" w:rsidR="00720CC0" w:rsidRDefault="00720CC0" w:rsidP="00AE785D">
      <w:pPr>
        <w:pStyle w:val="BodyText-parastyle"/>
      </w:pPr>
      <w:r>
        <w:t>There were a number of</w:t>
      </w:r>
      <w:r w:rsidRPr="000D10F7">
        <w:t xml:space="preserve"> challenges </w:t>
      </w:r>
      <w:r>
        <w:t>to implementing Social Prescribing, namely</w:t>
      </w:r>
      <w:r w:rsidRPr="000D10F7">
        <w:t>:</w:t>
      </w:r>
    </w:p>
    <w:p w14:paraId="068E0E54" w14:textId="3624ACF9" w:rsidR="00720CC0" w:rsidRDefault="00720CC0" w:rsidP="00AE785D">
      <w:pPr>
        <w:pStyle w:val="BodyText-parastyle"/>
      </w:pPr>
      <w:r w:rsidRPr="006A2860">
        <w:rPr>
          <w:color w:val="00B0F0"/>
        </w:rPr>
        <w:t>Awareness of the information governance requirements by delivery organisations</w:t>
      </w:r>
      <w:r>
        <w:t xml:space="preserve"> – </w:t>
      </w:r>
      <w:r w:rsidR="00094861">
        <w:t xml:space="preserve">it took time to ensure that all </w:t>
      </w:r>
      <w:r>
        <w:t xml:space="preserve">delivery organisations </w:t>
      </w:r>
      <w:r w:rsidR="00094861">
        <w:t xml:space="preserve">complied with </w:t>
      </w:r>
      <w:r>
        <w:t xml:space="preserve">ECC information governance requirements </w:t>
      </w:r>
      <w:r w:rsidR="00094861">
        <w:t xml:space="preserve">in order to ensure </w:t>
      </w:r>
      <w:r>
        <w:t xml:space="preserve">data </w:t>
      </w:r>
      <w:r w:rsidR="00094861">
        <w:t xml:space="preserve">was sent securely.  </w:t>
      </w:r>
    </w:p>
    <w:p w14:paraId="12C86BAF" w14:textId="77777777" w:rsidR="00720CC0" w:rsidRDefault="00720CC0" w:rsidP="00AE785D">
      <w:pPr>
        <w:pStyle w:val="BodyText-parastyle"/>
      </w:pPr>
      <w:r w:rsidRPr="006A2860">
        <w:rPr>
          <w:color w:val="00B0F0"/>
        </w:rPr>
        <w:t xml:space="preserve">The time required to get the data collection tools approved </w:t>
      </w:r>
      <w:r>
        <w:t>– it took time to ensure the data collection tools complied with ECC information governance requirements. As a result the data collection began later than originally anticipated and limited the number of baseline and follow-up surveys that could be completed. This should be considered in plans for the implementation of future models.</w:t>
      </w:r>
    </w:p>
    <w:p w14:paraId="2DD7D0C6" w14:textId="6FB3E7A1" w:rsidR="00720CC0" w:rsidRDefault="00720CC0" w:rsidP="00AE785D">
      <w:pPr>
        <w:pStyle w:val="BodyText-parastyle"/>
      </w:pPr>
      <w:r w:rsidRPr="001F4297">
        <w:rPr>
          <w:color w:val="00B0F0"/>
        </w:rPr>
        <w:t>T</w:t>
      </w:r>
      <w:r>
        <w:rPr>
          <w:color w:val="00B0F0"/>
        </w:rPr>
        <w:t>he t</w:t>
      </w:r>
      <w:r w:rsidRPr="001F4297">
        <w:rPr>
          <w:color w:val="00B0F0"/>
        </w:rPr>
        <w:t xml:space="preserve">iming of </w:t>
      </w:r>
      <w:r>
        <w:rPr>
          <w:color w:val="00B0F0"/>
        </w:rPr>
        <w:t xml:space="preserve">the evaluation / </w:t>
      </w:r>
      <w:r w:rsidRPr="001F4297">
        <w:rPr>
          <w:color w:val="00B0F0"/>
        </w:rPr>
        <w:t xml:space="preserve">data collection </w:t>
      </w:r>
      <w:r>
        <w:t xml:space="preserve">– the evaluation was not commissioned at the start of project delivery and baseline data on health service use was not collected </w:t>
      </w:r>
      <w:r>
        <w:lastRenderedPageBreak/>
        <w:t xml:space="preserve">consistently across all projects from the outset. This commenced in July 2016 after RSM PACEC were appointed, however for some projects this was over a year into delivery. As a result a significant number of people supported by the Social Prescribing projects were not able to be included in the survey sample. </w:t>
      </w:r>
    </w:p>
    <w:p w14:paraId="4B70F83F" w14:textId="77777777" w:rsidR="00720CC0" w:rsidRDefault="00720CC0" w:rsidP="00AE785D">
      <w:pPr>
        <w:pStyle w:val="BodyText-parastyle"/>
      </w:pPr>
      <w:r>
        <w:rPr>
          <w:color w:val="00B0F0"/>
        </w:rPr>
        <w:t xml:space="preserve">Lack of informed consent </w:t>
      </w:r>
      <w:r>
        <w:t>– only a small proportion of Social Prescribing service users provided consent to be contacted and were included in the survey sample. This was due to a number of issues including:</w:t>
      </w:r>
    </w:p>
    <w:p w14:paraId="47F06B31" w14:textId="77777777" w:rsidR="00720CC0" w:rsidRDefault="00720CC0" w:rsidP="00D53262">
      <w:pPr>
        <w:pStyle w:val="ListParagraph"/>
      </w:pPr>
      <w:r>
        <w:t xml:space="preserve">not all service users were informed of the evaluation at the outset of their engagement </w:t>
      </w:r>
    </w:p>
    <w:p w14:paraId="6D4D1CA0" w14:textId="77777777" w:rsidR="00720CC0" w:rsidRDefault="00720CC0" w:rsidP="00D53262">
      <w:pPr>
        <w:pStyle w:val="ListParagraph"/>
      </w:pPr>
      <w:r>
        <w:t>reported resourcing issues meant it was not possible to incorporate the baseline survey as part of their initial engagement with the service user</w:t>
      </w:r>
    </w:p>
    <w:p w14:paraId="4250208F" w14:textId="77777777" w:rsidR="00720CC0" w:rsidRPr="00850814" w:rsidRDefault="00720CC0" w:rsidP="00D53262">
      <w:pPr>
        <w:pStyle w:val="ListParagraph"/>
      </w:pPr>
      <w:r>
        <w:t>the vulnerable nature of the client group meant they were often not</w:t>
      </w:r>
      <w:r w:rsidRPr="00A54A5D">
        <w:t xml:space="preserve"> willing to </w:t>
      </w:r>
      <w:r>
        <w:t xml:space="preserve">discuss their health and wellbeing </w:t>
      </w:r>
    </w:p>
    <w:p w14:paraId="16FDE04C" w14:textId="77777777" w:rsidR="00720CC0" w:rsidRDefault="00720CC0" w:rsidP="00AE785D">
      <w:pPr>
        <w:pStyle w:val="BodyText-parastyle"/>
      </w:pPr>
      <w:r>
        <w:rPr>
          <w:color w:val="00B0F0"/>
        </w:rPr>
        <w:t>Inability to</w:t>
      </w:r>
      <w:r w:rsidRPr="006A2860">
        <w:rPr>
          <w:color w:val="00B0F0"/>
        </w:rPr>
        <w:t xml:space="preserve"> </w:t>
      </w:r>
      <w:r>
        <w:rPr>
          <w:color w:val="00B0F0"/>
        </w:rPr>
        <w:t xml:space="preserve">engage </w:t>
      </w:r>
      <w:r w:rsidRPr="006A2860">
        <w:rPr>
          <w:color w:val="00B0F0"/>
        </w:rPr>
        <w:t xml:space="preserve">with </w:t>
      </w:r>
      <w:r>
        <w:rPr>
          <w:color w:val="00B0F0"/>
        </w:rPr>
        <w:t xml:space="preserve">some </w:t>
      </w:r>
      <w:r w:rsidRPr="006A2860">
        <w:rPr>
          <w:color w:val="00B0F0"/>
        </w:rPr>
        <w:t xml:space="preserve">service users </w:t>
      </w:r>
      <w:r>
        <w:t>– the evaluation team were not able to complete surveys / gather feedback from all service users, specifically for the Southend</w:t>
      </w:r>
      <w:r>
        <w:rPr>
          <w:rStyle w:val="FootnoteReference"/>
        </w:rPr>
        <w:footnoteReference w:id="9"/>
      </w:r>
      <w:r>
        <w:t xml:space="preserve"> and Tendring</w:t>
      </w:r>
      <w:r>
        <w:rPr>
          <w:rStyle w:val="FootnoteReference"/>
        </w:rPr>
        <w:footnoteReference w:id="10"/>
      </w:r>
      <w:r>
        <w:t xml:space="preserve"> projects. As a result conclusions on outcomes and cost effectiveness / cost avoidance are not reflective of all the Social Prescribing projects funded. </w:t>
      </w:r>
    </w:p>
    <w:p w14:paraId="24928EFD" w14:textId="77777777" w:rsidR="00720CC0" w:rsidRDefault="00720CC0" w:rsidP="00AE785D">
      <w:pPr>
        <w:pStyle w:val="BodyText-parastyle"/>
      </w:pPr>
      <w:r w:rsidRPr="00A42FA6">
        <w:rPr>
          <w:rFonts w:eastAsia="Calibri"/>
          <w:color w:val="00B0F0"/>
          <w:lang w:val="en-US" w:eastAsia="en-US"/>
        </w:rPr>
        <w:t>Cost avoidance</w:t>
      </w:r>
      <w:r>
        <w:t xml:space="preserve"> – the terms of reference for the evaluation requested the identification of cost savings associated with any reduction in the use of primary, secondary or social care services. However: </w:t>
      </w:r>
    </w:p>
    <w:p w14:paraId="25844F69" w14:textId="77777777" w:rsidR="00720CC0" w:rsidRDefault="00720CC0" w:rsidP="00D53262">
      <w:pPr>
        <w:pStyle w:val="ListParagraph"/>
      </w:pPr>
      <w:r w:rsidRPr="006A2860">
        <w:rPr>
          <w:color w:val="00B0F0"/>
        </w:rPr>
        <w:t xml:space="preserve">Data on health service use was not available </w:t>
      </w:r>
      <w:r>
        <w:t xml:space="preserve">– it was not possible to access </w:t>
      </w:r>
      <w:r w:rsidRPr="004C31FA">
        <w:t xml:space="preserve">data on </w:t>
      </w:r>
      <w:r>
        <w:t xml:space="preserve">the use of primary, secondary and social care services by those that were referred to the Social Prescribing projects. As a result the findings rely on self-reported use which can be less accurate and variable, for example A+E visits of inpatient hospital admissions may be more accurately reported than GP appointments or prescriptions received </w:t>
      </w:r>
    </w:p>
    <w:p w14:paraId="5FE73E44" w14:textId="77777777" w:rsidR="00720CC0" w:rsidRDefault="00720CC0" w:rsidP="00D53262">
      <w:pPr>
        <w:pStyle w:val="ListParagraph"/>
      </w:pPr>
      <w:r w:rsidRPr="00A42FA6">
        <w:rPr>
          <w:color w:val="00B0F0"/>
        </w:rPr>
        <w:t>Data was not collected on the cost to local frontline VCS organisa</w:t>
      </w:r>
      <w:r w:rsidRPr="00A54A5D">
        <w:rPr>
          <w:color w:val="00B0F0"/>
        </w:rPr>
        <w:t>tions</w:t>
      </w:r>
      <w:r>
        <w:t xml:space="preserve"> - the Social Prescribing projects made onward referrals to a number of VCS organisations however the cost to the VCS was not captured; it was therefore not possible to mitigate the cost avoidance values calculated against the cost of delivering support by the VCS  </w:t>
      </w:r>
    </w:p>
    <w:p w14:paraId="454CAFB6" w14:textId="77777777" w:rsidR="00720CC0" w:rsidRDefault="00720CC0" w:rsidP="00AE785D">
      <w:pPr>
        <w:pStyle w:val="BodyText-parastyle"/>
      </w:pPr>
      <w:r w:rsidRPr="0050165B">
        <w:t xml:space="preserve">This means there is a challenge in identifying cost savings </w:t>
      </w:r>
      <w:r>
        <w:t xml:space="preserve">/ cost avoidance </w:t>
      </w:r>
      <w:r w:rsidRPr="0050165B">
        <w:t>in their entirety</w:t>
      </w:r>
      <w:r>
        <w:t>.</w:t>
      </w:r>
    </w:p>
    <w:p w14:paraId="29FDC05F" w14:textId="0984C81B" w:rsidR="00720CC0" w:rsidRDefault="00720CC0" w:rsidP="00AE785D">
      <w:pPr>
        <w:pStyle w:val="BodyText-parastyle"/>
      </w:pPr>
      <w:r w:rsidRPr="00A42FA6">
        <w:rPr>
          <w:color w:val="00B0F0"/>
        </w:rPr>
        <w:t>Lack of consistent performance indicators</w:t>
      </w:r>
      <w:r>
        <w:t xml:space="preserve"> - t</w:t>
      </w:r>
      <w:r w:rsidRPr="00A42FA6">
        <w:t>he Social Prescribing projects were</w:t>
      </w:r>
      <w:r>
        <w:t xml:space="preserve"> all commissioned independently and used different performance indicators. This </w:t>
      </w:r>
      <w:r w:rsidRPr="00A42FA6">
        <w:t xml:space="preserve">meant it was </w:t>
      </w:r>
      <w:r w:rsidR="00ED58F0">
        <w:t xml:space="preserve">difficult </w:t>
      </w:r>
      <w:r w:rsidR="00ED58F0" w:rsidRPr="00A42FA6">
        <w:t>to</w:t>
      </w:r>
      <w:r w:rsidRPr="00A42FA6">
        <w:t xml:space="preserve"> </w:t>
      </w:r>
      <w:r w:rsidR="00ED58F0" w:rsidRPr="00A42FA6">
        <w:t>aggregate project</w:t>
      </w:r>
      <w:r w:rsidRPr="00A42FA6">
        <w:t xml:space="preserve"> data at a programme level.</w:t>
      </w:r>
      <w:r>
        <w:t xml:space="preserve">   </w:t>
      </w:r>
    </w:p>
    <w:p w14:paraId="06C9BB88" w14:textId="77777777" w:rsidR="00720CC0" w:rsidRDefault="00720CC0" w:rsidP="00720CC0">
      <w:pPr>
        <w:pStyle w:val="Heading2"/>
        <w:numPr>
          <w:ilvl w:val="1"/>
          <w:numId w:val="1"/>
        </w:numPr>
        <w:tabs>
          <w:tab w:val="clear" w:pos="3349"/>
          <w:tab w:val="num" w:pos="567"/>
        </w:tabs>
        <w:ind w:left="567" w:hanging="567"/>
      </w:pPr>
      <w:bookmarkStart w:id="18" w:name="_Toc497934256"/>
      <w:r>
        <w:lastRenderedPageBreak/>
        <w:t>Conclusions and Recommendations</w:t>
      </w:r>
      <w:bookmarkEnd w:id="18"/>
      <w:r>
        <w:t xml:space="preserve"> </w:t>
      </w:r>
    </w:p>
    <w:p w14:paraId="042BFAAB" w14:textId="77777777" w:rsidR="00720CC0" w:rsidRDefault="00720CC0" w:rsidP="00AE785D">
      <w:pPr>
        <w:pStyle w:val="BodyText-parastyle"/>
      </w:pPr>
      <w:r>
        <w:t xml:space="preserve">Social Prescribing is still in the early stages of development in Essex and the pilot projects have provided useful evidence and learning that can be used to inform the development of an Essex wide model for 2017/18.  </w:t>
      </w:r>
    </w:p>
    <w:p w14:paraId="263C36AF" w14:textId="77777777" w:rsidR="00720CC0" w:rsidRPr="004C31FA"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Referrals</w:t>
      </w:r>
    </w:p>
    <w:p w14:paraId="6F0A92C4" w14:textId="6AD5FD77" w:rsidR="00720CC0" w:rsidRDefault="00720CC0" w:rsidP="00AE785D">
      <w:pPr>
        <w:pStyle w:val="BodyText-parastyle"/>
      </w:pPr>
      <w:r>
        <w:t xml:space="preserve">Referral levels in some projects were significantly lower than the targets agreed in individual grant agreements / SLAs. </w:t>
      </w:r>
      <w:r w:rsidRPr="004C31FA">
        <w:t xml:space="preserve">Overall </w:t>
      </w:r>
      <w:r>
        <w:t>4,951</w:t>
      </w:r>
      <w:r w:rsidRPr="004C31FA">
        <w:t xml:space="preserve"> </w:t>
      </w:r>
      <w:r>
        <w:t>‘</w:t>
      </w:r>
      <w:r w:rsidRPr="004C31FA">
        <w:t>referrals in</w:t>
      </w:r>
      <w:r>
        <w:t>’</w:t>
      </w:r>
      <w:r>
        <w:rPr>
          <w:rStyle w:val="FootnoteReference"/>
        </w:rPr>
        <w:footnoteReference w:id="11"/>
      </w:r>
      <w:r w:rsidRPr="004C31FA">
        <w:t xml:space="preserve"> were made across </w:t>
      </w:r>
      <w:r>
        <w:t>five</w:t>
      </w:r>
      <w:r w:rsidRPr="004C31FA">
        <w:t xml:space="preserve"> Social Prescribing projects</w:t>
      </w:r>
      <w:r>
        <w:t>.</w:t>
      </w:r>
      <w:r w:rsidRPr="004C31FA">
        <w:rPr>
          <w:vertAlign w:val="superscript"/>
        </w:rPr>
        <w:footnoteReference w:id="12"/>
      </w:r>
      <w:r w:rsidRPr="004C31FA">
        <w:t xml:space="preserve"> </w:t>
      </w:r>
      <w:r>
        <w:t xml:space="preserve">This exceeds their combined target of </w:t>
      </w:r>
      <w:r w:rsidRPr="00E06506">
        <w:t>3,286</w:t>
      </w:r>
      <w:r>
        <w:t xml:space="preserve">, however while some projects exceeded their referral target (Mid Essex and </w:t>
      </w:r>
      <w:r w:rsidR="00DA2FF7">
        <w:t>North East</w:t>
      </w:r>
      <w:r w:rsidR="00ED58F0">
        <w:t xml:space="preserve"> (</w:t>
      </w:r>
      <w:r>
        <w:t>My Social Prescription)</w:t>
      </w:r>
      <w:r w:rsidR="00ED58F0">
        <w:t xml:space="preserve">) </w:t>
      </w:r>
      <w:r>
        <w:t xml:space="preserve">other projects did not (Basildon and Brentwood and </w:t>
      </w:r>
      <w:r w:rsidR="00ED58F0">
        <w:t>Castle Point and Rochford</w:t>
      </w:r>
      <w:r>
        <w:t xml:space="preserve">). No referral target was set for West Essex </w:t>
      </w:r>
      <w:r w:rsidR="00865A24">
        <w:t xml:space="preserve">by the CCG </w:t>
      </w:r>
      <w:r>
        <w:t xml:space="preserve">however it received 510 referrals. </w:t>
      </w:r>
    </w:p>
    <w:p w14:paraId="03AD5614" w14:textId="77777777" w:rsidR="00720CC0" w:rsidRDefault="00720CC0" w:rsidP="00AE785D">
      <w:pPr>
        <w:pStyle w:val="BodyText-parastyle"/>
      </w:pPr>
      <w:r w:rsidRPr="004C31FA">
        <w:t>Obtaining referrals from GPs</w:t>
      </w:r>
      <w:r>
        <w:t xml:space="preserve"> was a challenge reported by most of the</w:t>
      </w:r>
      <w:r w:rsidRPr="004C31FA">
        <w:t xml:space="preserve"> projects</w:t>
      </w:r>
      <w:r>
        <w:t xml:space="preserve">. </w:t>
      </w:r>
      <w:r w:rsidRPr="004C31FA">
        <w:t xml:space="preserve"> </w:t>
      </w:r>
      <w:r>
        <w:t>Two key approaches were used to encourage referrals:</w:t>
      </w:r>
    </w:p>
    <w:p w14:paraId="2BCBEDE5" w14:textId="523C5418" w:rsidR="00720CC0" w:rsidRDefault="00720CC0" w:rsidP="00D53262">
      <w:pPr>
        <w:pStyle w:val="ListParagraph"/>
      </w:pPr>
      <w:r>
        <w:rPr>
          <w:lang w:val="en-GB" w:eastAsia="en-GB"/>
        </w:rPr>
        <w:t>A Personal Independence Planner (PIC)</w:t>
      </w:r>
      <w:r w:rsidRPr="004C31FA">
        <w:rPr>
          <w:lang w:val="en-GB" w:eastAsia="en-GB"/>
        </w:rPr>
        <w:t xml:space="preserve"> </w:t>
      </w:r>
      <w:r>
        <w:rPr>
          <w:lang w:val="en-GB" w:eastAsia="en-GB"/>
        </w:rPr>
        <w:t xml:space="preserve">joined </w:t>
      </w:r>
      <w:r w:rsidRPr="004C31FA">
        <w:rPr>
          <w:lang w:val="en-GB" w:eastAsia="en-GB"/>
        </w:rPr>
        <w:t>M</w:t>
      </w:r>
      <w:r>
        <w:rPr>
          <w:lang w:val="en-GB" w:eastAsia="en-GB"/>
        </w:rPr>
        <w:t xml:space="preserve">ulti-Disciplinary team (MDT) </w:t>
      </w:r>
      <w:r w:rsidRPr="004C31FA">
        <w:rPr>
          <w:lang w:val="en-GB" w:eastAsia="en-GB"/>
        </w:rPr>
        <w:t xml:space="preserve">meetings </w:t>
      </w:r>
      <w:r>
        <w:rPr>
          <w:lang w:val="en-GB" w:eastAsia="en-GB"/>
        </w:rPr>
        <w:t xml:space="preserve">and detailed how Social Prescribing could help clients to the team to encourage referrals of relevant cases. This was used in the West Essex model and staff in these practices </w:t>
      </w:r>
      <w:r w:rsidRPr="005478E1">
        <w:t>noted that they value</w:t>
      </w:r>
      <w:r>
        <w:t xml:space="preserve">d this approach. They also noted that they valued the </w:t>
      </w:r>
      <w:r w:rsidRPr="005478E1">
        <w:t>updates provided on those they ha</w:t>
      </w:r>
      <w:r>
        <w:t>d</w:t>
      </w:r>
      <w:r w:rsidRPr="005478E1">
        <w:t xml:space="preserve"> referred and felt that having the PIC as part of the MDT meeting</w:t>
      </w:r>
      <w:r>
        <w:t>s</w:t>
      </w:r>
      <w:r w:rsidRPr="005478E1">
        <w:t xml:space="preserve"> ensured there was good communication to find the best</w:t>
      </w:r>
      <w:r w:rsidR="00ED58F0">
        <w:t xml:space="preserve"> </w:t>
      </w:r>
      <w:r w:rsidRPr="005478E1">
        <w:t>solution for patients. This was also highlighted as beneficial by the PIC who stated that being part of the monthly MDT meetings at each surgery “was pivotal to integrating Smart Life into the practices”.</w:t>
      </w:r>
    </w:p>
    <w:p w14:paraId="0355D814" w14:textId="77777777" w:rsidR="00ED58F0" w:rsidRPr="00ED58F0" w:rsidRDefault="00720CC0" w:rsidP="00D53262">
      <w:pPr>
        <w:pStyle w:val="ListParagraph"/>
      </w:pPr>
      <w:r>
        <w:rPr>
          <w:lang w:val="en-GB" w:eastAsia="en-GB"/>
        </w:rPr>
        <w:t>Use of SystmOne – this was used in the Mid Essex model</w:t>
      </w:r>
      <w:r w:rsidR="00865A24">
        <w:rPr>
          <w:lang w:val="en-GB" w:eastAsia="en-GB"/>
        </w:rPr>
        <w:t xml:space="preserve"> for the level 2 service</w:t>
      </w:r>
      <w:r>
        <w:rPr>
          <w:lang w:val="en-GB" w:eastAsia="en-GB"/>
        </w:rPr>
        <w:t xml:space="preserve">. It involved having Social Prescribing integrated into the GP systems therefore allowing them to refer patients quickly and easily. As a result the </w:t>
      </w:r>
      <w:r w:rsidRPr="002620CA">
        <w:rPr>
          <w:lang w:val="en-GB" w:eastAsia="en-GB"/>
        </w:rPr>
        <w:t xml:space="preserve">project successfully increased referrals </w:t>
      </w:r>
      <w:r>
        <w:rPr>
          <w:lang w:val="en-GB" w:eastAsia="en-GB"/>
        </w:rPr>
        <w:t xml:space="preserve">by </w:t>
      </w:r>
      <w:r w:rsidRPr="00C507BA">
        <w:rPr>
          <w:lang w:val="en-GB" w:eastAsia="en-GB"/>
        </w:rPr>
        <w:t xml:space="preserve">1,252 </w:t>
      </w:r>
      <w:r>
        <w:rPr>
          <w:lang w:val="en-GB" w:eastAsia="en-GB"/>
        </w:rPr>
        <w:t>(</w:t>
      </w:r>
      <w:r w:rsidRPr="00C507BA">
        <w:rPr>
          <w:lang w:val="en-GB" w:eastAsia="en-GB"/>
        </w:rPr>
        <w:t>of a total 1,491 referrals</w:t>
      </w:r>
      <w:r>
        <w:rPr>
          <w:lang w:val="en-GB" w:eastAsia="en-GB"/>
        </w:rPr>
        <w:t xml:space="preserve"> therefore 84%)</w:t>
      </w:r>
      <w:r w:rsidRPr="00C507BA">
        <w:rPr>
          <w:lang w:val="en-GB" w:eastAsia="en-GB"/>
        </w:rPr>
        <w:t xml:space="preserve"> via SystmOne</w:t>
      </w:r>
      <w:r w:rsidR="00865A24">
        <w:rPr>
          <w:lang w:val="en-GB" w:eastAsia="en-GB"/>
        </w:rPr>
        <w:t>.</w:t>
      </w:r>
      <w:r>
        <w:rPr>
          <w:lang w:val="en-GB" w:eastAsia="en-GB"/>
        </w:rPr>
        <w:t xml:space="preserve"> </w:t>
      </w:r>
    </w:p>
    <w:p w14:paraId="3EFF2035" w14:textId="0F4F2859" w:rsidR="00720CC0" w:rsidRDefault="00720CC0" w:rsidP="00AE785D">
      <w:pPr>
        <w:pStyle w:val="BodyText-parastyle"/>
      </w:pPr>
      <w:r>
        <w:t xml:space="preserve">A review of Social Prescribing referral approaches used elsewhere noted the importance of consulting with GPs / primary care workers and tailoring the approach used to their individual needs. </w:t>
      </w:r>
      <w:r w:rsidRPr="004C31FA">
        <w:t>For example, in Doncaster</w:t>
      </w:r>
      <w:r>
        <w:rPr>
          <w:rStyle w:val="FootnoteReference"/>
        </w:rPr>
        <w:footnoteReference w:id="13"/>
      </w:r>
      <w:r w:rsidRPr="004C31FA">
        <w:t xml:space="preserve"> GPs were provided with Social Prescribing ‘prescription pads’ as it was identified that GPs were used to writing medical prescriptions and continuing to use this format for non-medical prescriptions was a simple way get GPs </w:t>
      </w:r>
      <w:r w:rsidRPr="004C31FA">
        <w:lastRenderedPageBreak/>
        <w:t>referring the project. In addition, the Rotherham Social Prescribing Pilot</w:t>
      </w:r>
      <w:r>
        <w:rPr>
          <w:rStyle w:val="FootnoteReference"/>
        </w:rPr>
        <w:footnoteReference w:id="14"/>
      </w:r>
      <w:r w:rsidRPr="004C31FA">
        <w:t xml:space="preserve"> successfully used an integrated case management approach where the Social Prescribing Navigator was embedded in case management meetings an</w:t>
      </w:r>
      <w:r>
        <w:t>d referrals were made directly. I</w:t>
      </w:r>
      <w:r w:rsidRPr="004C31FA">
        <w:t xml:space="preserve">t was </w:t>
      </w:r>
      <w:r>
        <w:t xml:space="preserve">also </w:t>
      </w:r>
      <w:r w:rsidRPr="004C31FA">
        <w:t xml:space="preserve">highlighted by </w:t>
      </w:r>
      <w:r>
        <w:t xml:space="preserve">Essex Social Prescribing </w:t>
      </w:r>
      <w:r w:rsidRPr="004C31FA">
        <w:t>delivery organisations that a higher number of referrals were received from GP practices that had a ‘GP Champion’ promot</w:t>
      </w:r>
      <w:r>
        <w:t>ing</w:t>
      </w:r>
      <w:r w:rsidRPr="004C31FA">
        <w:t xml:space="preserve"> Social Prescribing to other GPs; this was a key feature of the Rotherham Social Prescribing project</w:t>
      </w:r>
      <w:r>
        <w:t>.</w:t>
      </w:r>
    </w:p>
    <w:p w14:paraId="5C83779B" w14:textId="77777777" w:rsidR="00720CC0" w:rsidRDefault="00720CC0" w:rsidP="00AE785D">
      <w:pPr>
        <w:pStyle w:val="BodyText-parastyle"/>
      </w:pPr>
      <w:r>
        <w:t>Consultees from the delivery organisations also highlighted that the lower than anticipated number of referrals was a key issue and suggested that:</w:t>
      </w:r>
    </w:p>
    <w:p w14:paraId="3A9053CB" w14:textId="77777777" w:rsidR="00720CC0" w:rsidRDefault="00720CC0" w:rsidP="00D53262">
      <w:pPr>
        <w:pStyle w:val="ListParagraph"/>
        <w:rPr>
          <w:lang w:val="en-GB" w:eastAsia="en-GB"/>
        </w:rPr>
      </w:pPr>
      <w:r>
        <w:rPr>
          <w:lang w:val="en-GB" w:eastAsia="en-GB"/>
        </w:rPr>
        <w:t>Commissioners in the CCGs needed to do more to get Social Prescribing engrained into the everyday work of GPs and primary care staff, this could be ongoing promotion of the benefits of Social Prescribing as well as using incentives to get referrals; and</w:t>
      </w:r>
    </w:p>
    <w:p w14:paraId="4DEB6E75" w14:textId="5D2F961A" w:rsidR="00720CC0" w:rsidRPr="007870D3" w:rsidRDefault="002E131B" w:rsidP="00D53262">
      <w:pPr>
        <w:pStyle w:val="ListParagraph"/>
        <w:rPr>
          <w:lang w:val="en-GB" w:eastAsia="en-GB"/>
        </w:rPr>
      </w:pPr>
      <w:r>
        <w:rPr>
          <w:lang w:val="en-GB" w:eastAsia="en-GB"/>
        </w:rPr>
        <w:t>A</w:t>
      </w:r>
      <w:r w:rsidR="00720CC0">
        <w:rPr>
          <w:lang w:val="en-GB" w:eastAsia="en-GB"/>
        </w:rPr>
        <w:t xml:space="preserve"> simple and easy referral process was needed, noting that different processes worked in different areas and therefore communication and involvement between delivery organisations and GPs / primary care staff was key in agreeing these processes.</w:t>
      </w:r>
    </w:p>
    <w:p w14:paraId="5BF964EE" w14:textId="77777777" w:rsidR="00720CC0" w:rsidRPr="004C31FA" w:rsidRDefault="00720CC0" w:rsidP="00AE785D">
      <w:pPr>
        <w:pStyle w:val="BodyText-parastyle"/>
      </w:pPr>
      <w:r w:rsidRPr="004C31FA">
        <w:rPr>
          <w:b/>
          <w:color w:val="00B0F0"/>
        </w:rPr>
        <w:t>Recommendation:</w:t>
      </w:r>
      <w:r w:rsidRPr="004C31FA">
        <w:rPr>
          <w:color w:val="00B0F0"/>
        </w:rPr>
        <w:t xml:space="preserve"> </w:t>
      </w:r>
      <w:r w:rsidRPr="004C31FA">
        <w:t xml:space="preserve">We recommend that future Social Prescribing projects / models incorporate a range of </w:t>
      </w:r>
      <w:r>
        <w:t xml:space="preserve">GP/ primary care staff </w:t>
      </w:r>
      <w:r w:rsidRPr="004C31FA">
        <w:t xml:space="preserve">referral </w:t>
      </w:r>
      <w:r>
        <w:t xml:space="preserve">pathways, and these should be developed in conjunction with the GPs/ primary care staff to understand what works best for them and build on their existing systems / technology.   </w:t>
      </w:r>
    </w:p>
    <w:p w14:paraId="09A1E3EB" w14:textId="77777777" w:rsidR="00720CC0" w:rsidRPr="004C31FA" w:rsidRDefault="00720CC0" w:rsidP="00AE785D">
      <w:pPr>
        <w:pStyle w:val="BodyText-parastyle"/>
      </w:pPr>
      <w:r w:rsidRPr="004C31FA">
        <w:rPr>
          <w:b/>
          <w:color w:val="00B0F0"/>
        </w:rPr>
        <w:t>Recommendation:</w:t>
      </w:r>
      <w:r w:rsidRPr="004C31FA">
        <w:t xml:space="preserve"> </w:t>
      </w:r>
      <w:r w:rsidRPr="00333628">
        <w:t>We recommend that co</w:t>
      </w:r>
      <w:r>
        <w:t>nsideration is given to how c</w:t>
      </w:r>
      <w:r w:rsidRPr="00E02724">
        <w:t>ommissioners in the CCGs</w:t>
      </w:r>
      <w:r w:rsidRPr="00333628">
        <w:t xml:space="preserve"> could become more actively involved to promote Social Prescribing</w:t>
      </w:r>
      <w:r>
        <w:t>,</w:t>
      </w:r>
      <w:r w:rsidRPr="00333628">
        <w:t xml:space="preserve"> encourage GPs / primary care staff to make referrals</w:t>
      </w:r>
      <w:r>
        <w:t xml:space="preserve"> and make</w:t>
      </w:r>
      <w:r w:rsidRPr="00333628">
        <w:t xml:space="preserve"> potential users aware of the benefits</w:t>
      </w:r>
      <w:r>
        <w:t>.</w:t>
      </w:r>
    </w:p>
    <w:p w14:paraId="22B15F9A" w14:textId="77777777" w:rsidR="00720CC0" w:rsidRPr="004C31FA"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Targets / KPIs</w:t>
      </w:r>
    </w:p>
    <w:p w14:paraId="09AD5763" w14:textId="77777777" w:rsidR="00720CC0" w:rsidRDefault="00720CC0" w:rsidP="00AE785D">
      <w:pPr>
        <w:pStyle w:val="BodyText-parastyle"/>
      </w:pPr>
      <w:r>
        <w:t>Evaluation of outcomes at a programme level was difficult as the projects did not collect the same performance information. In addition, n</w:t>
      </w:r>
      <w:r w:rsidRPr="004C31FA">
        <w:t>ot all projects had KPIs that related to each of the outcomes to be measured by the evaluation</w:t>
      </w:r>
      <w:r>
        <w:t xml:space="preserve"> and</w:t>
      </w:r>
      <w:r w:rsidRPr="004C31FA">
        <w:t xml:space="preserve"> in some cases the performance measures set were not SMART</w:t>
      </w:r>
      <w:r>
        <w:t>.</w:t>
      </w:r>
      <w:r w:rsidRPr="004C31FA">
        <w:rPr>
          <w:vertAlign w:val="superscript"/>
        </w:rPr>
        <w:footnoteReference w:id="15"/>
      </w:r>
      <w:r>
        <w:t xml:space="preserve"> </w:t>
      </w:r>
    </w:p>
    <w:p w14:paraId="59FE2C88" w14:textId="77777777" w:rsidR="00720CC0" w:rsidRDefault="00720CC0" w:rsidP="00AE785D">
      <w:pPr>
        <w:pStyle w:val="BodyText-parastyle"/>
      </w:pPr>
      <w:r>
        <w:t xml:space="preserve">A common set of core KPIs allows for consistency across each area and ensures a focus on the primary outcomes set for the funding (i.e. reduction in use of primary, secondary and social care). </w:t>
      </w:r>
      <w:r w:rsidRPr="0071155F">
        <w:t>It is key that any future funding has outcome measures clearly agreed and evidence collected against these on an ongoing basis.</w:t>
      </w:r>
      <w:r>
        <w:t xml:space="preserve"> If the primary outcomes change, this should be communicated to all projects and the KPIs changed accordingly. The projects may add to the core KPIs with others that are important to their area.  </w:t>
      </w:r>
    </w:p>
    <w:p w14:paraId="06FF46C2" w14:textId="77777777" w:rsidR="00720CC0" w:rsidRDefault="00720CC0" w:rsidP="00AE785D">
      <w:pPr>
        <w:pStyle w:val="BodyText-parastyle"/>
      </w:pPr>
      <w:r>
        <w:lastRenderedPageBreak/>
        <w:t>We understand that work has been completed since the Interim Report in October 2016 by ECC to set consistent targets that include primary, secondary and social care</w:t>
      </w:r>
      <w:r w:rsidRPr="00B4686B">
        <w:t xml:space="preserve"> </w:t>
      </w:r>
      <w:r>
        <w:t xml:space="preserve">use </w:t>
      </w:r>
      <w:r w:rsidRPr="00B4686B">
        <w:t>and it is understood all funded projects for 2017/</w:t>
      </w:r>
      <w:r>
        <w:t>1</w:t>
      </w:r>
      <w:r w:rsidRPr="00B4686B">
        <w:t xml:space="preserve">8 </w:t>
      </w:r>
      <w:r>
        <w:t>will be</w:t>
      </w:r>
      <w:r w:rsidRPr="00B4686B">
        <w:t xml:space="preserve"> required to use KPIs linked to programme objectives.  </w:t>
      </w:r>
    </w:p>
    <w:p w14:paraId="0A4A42CB" w14:textId="77777777" w:rsidR="00720CC0" w:rsidRPr="004C31FA" w:rsidRDefault="00720CC0" w:rsidP="00AE785D">
      <w:pPr>
        <w:pStyle w:val="BodyText-parastyle"/>
      </w:pPr>
      <w:r w:rsidRPr="004C31FA">
        <w:rPr>
          <w:b/>
          <w:color w:val="00B0F0"/>
        </w:rPr>
        <w:t>Recommendation:</w:t>
      </w:r>
      <w:r w:rsidRPr="004C31FA">
        <w:t xml:space="preserve"> We </w:t>
      </w:r>
      <w:r>
        <w:t xml:space="preserve">welcome that </w:t>
      </w:r>
      <w:r w:rsidRPr="004C31FA">
        <w:t>future Social Prescribing</w:t>
      </w:r>
      <w:r>
        <w:t xml:space="preserve"> projects across Essex are expected to use the same core</w:t>
      </w:r>
      <w:r w:rsidRPr="004C31FA">
        <w:t xml:space="preserve"> KPIs</w:t>
      </w:r>
      <w:r>
        <w:t>. These</w:t>
      </w:r>
      <w:r w:rsidRPr="004C31FA">
        <w:t xml:space="preserve"> should include the following </w:t>
      </w:r>
      <w:r>
        <w:t xml:space="preserve">at </w:t>
      </w:r>
      <w:r w:rsidRPr="004C31FA">
        <w:t>minimum:</w:t>
      </w:r>
    </w:p>
    <w:p w14:paraId="5DF10FB4" w14:textId="77777777" w:rsidR="00720CC0" w:rsidRPr="004C31FA" w:rsidRDefault="00720CC0" w:rsidP="00D53262">
      <w:pPr>
        <w:pStyle w:val="ListParagraph"/>
      </w:pPr>
      <w:r w:rsidRPr="004C31FA">
        <w:t xml:space="preserve">Inputs – </w:t>
      </w:r>
      <w:r>
        <w:t xml:space="preserve">amount of </w:t>
      </w:r>
      <w:r w:rsidRPr="004C31FA">
        <w:t xml:space="preserve">funding / </w:t>
      </w:r>
      <w:r>
        <w:t xml:space="preserve">number of </w:t>
      </w:r>
      <w:r w:rsidRPr="004C31FA">
        <w:t>staff</w:t>
      </w:r>
      <w:r>
        <w:t>/ other resources involved (i.e. volunteers etc.)</w:t>
      </w:r>
    </w:p>
    <w:p w14:paraId="03F461CF" w14:textId="77777777" w:rsidR="00720CC0" w:rsidRPr="004C31FA" w:rsidRDefault="00720CC0" w:rsidP="00D53262">
      <w:pPr>
        <w:pStyle w:val="ListParagraph"/>
      </w:pPr>
      <w:r>
        <w:t>Outputs – n</w:t>
      </w:r>
      <w:r w:rsidRPr="004C31FA">
        <w:t>umber of users referred</w:t>
      </w:r>
      <w:r>
        <w:t>; sources of referral; numbers who take up the service; n</w:t>
      </w:r>
      <w:r w:rsidRPr="004C31FA">
        <w:t>umber from the target group (</w:t>
      </w:r>
      <w:r>
        <w:t xml:space="preserve">i.e. numbers using GPs and hospitals where Social Prescribing may be more relevant support) </w:t>
      </w:r>
    </w:p>
    <w:p w14:paraId="5158E783" w14:textId="77777777" w:rsidR="00720CC0" w:rsidRPr="006E5835" w:rsidRDefault="00720CC0" w:rsidP="00D53262">
      <w:pPr>
        <w:pStyle w:val="ListParagraph"/>
      </w:pPr>
      <w:r>
        <w:t>Outcomes – r</w:t>
      </w:r>
      <w:r w:rsidRPr="004C31FA">
        <w:t>eduction in use of primary/ secondary/ social care (if appropriate); quality of the service provided and health and wellbeing outcomes for those supported (percentage reporting reduced social isolation or percentage reporting increased independence etc. – depending on the target group)</w:t>
      </w:r>
      <w:r>
        <w:t xml:space="preserve">. </w:t>
      </w:r>
    </w:p>
    <w:p w14:paraId="5AB677F6" w14:textId="77777777" w:rsidR="00720CC0"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Monitoring</w:t>
      </w:r>
    </w:p>
    <w:p w14:paraId="2524FD5F" w14:textId="77777777" w:rsidR="00720CC0" w:rsidRDefault="00720CC0" w:rsidP="00AE785D">
      <w:pPr>
        <w:pStyle w:val="BodyText-parastyle"/>
      </w:pPr>
      <w:r w:rsidRPr="0071155F">
        <w:t xml:space="preserve">A lack of consistent monitoring was identified in the interim Social Prescribing programme report and ECC has carried out work to address the recommendation that a standard monitoring and reporting template should be put in place across all projects. It is </w:t>
      </w:r>
      <w:r>
        <w:t xml:space="preserve">understood that </w:t>
      </w:r>
      <w:r w:rsidRPr="0071155F">
        <w:t xml:space="preserve">all funded projects will </w:t>
      </w:r>
      <w:r>
        <w:t xml:space="preserve">now </w:t>
      </w:r>
      <w:r w:rsidRPr="0071155F">
        <w:t>report against (1) a focus on decreasing primary/ secondary and community care costs; and (2) a whole population approach (i.e. changing behaviours to prevent ill-health in the longer term).</w:t>
      </w:r>
    </w:p>
    <w:p w14:paraId="1718F9A9" w14:textId="77777777" w:rsidR="00720CC0" w:rsidRDefault="00720CC0" w:rsidP="00AE785D">
      <w:pPr>
        <w:pStyle w:val="BodyText-parastyle"/>
      </w:pPr>
      <w:r w:rsidRPr="00E32E21">
        <w:rPr>
          <w:b/>
          <w:color w:val="00B0F0"/>
        </w:rPr>
        <w:t>Recommendation:</w:t>
      </w:r>
      <w:r w:rsidRPr="00E32E21">
        <w:rPr>
          <w:color w:val="00B0F0"/>
        </w:rPr>
        <w:t xml:space="preserve"> </w:t>
      </w:r>
      <w:r w:rsidRPr="00E32E21">
        <w:t>We welcome the implementation of the recommendation from the interim report and</w:t>
      </w:r>
      <w:r>
        <w:t xml:space="preserve"> understand that this will be taken forward into the 2017/18 Social Prescribing programme. We </w:t>
      </w:r>
      <w:r w:rsidRPr="00E32E21">
        <w:t>recommend that performance against target</w:t>
      </w:r>
      <w:r>
        <w:t>s</w:t>
      </w:r>
      <w:r w:rsidRPr="00E32E21">
        <w:t xml:space="preserve"> is assessed </w:t>
      </w:r>
      <w:r>
        <w:t xml:space="preserve">by the CCG / ECC </w:t>
      </w:r>
      <w:r w:rsidRPr="00E32E21">
        <w:t xml:space="preserve">on a monthly basis and mitigating actions to </w:t>
      </w:r>
      <w:r>
        <w:t>ensure</w:t>
      </w:r>
      <w:r w:rsidRPr="00E32E21">
        <w:t xml:space="preserve"> project targets </w:t>
      </w:r>
      <w:r>
        <w:t xml:space="preserve">are delivered </w:t>
      </w:r>
      <w:r w:rsidRPr="00E32E21">
        <w:t>documented. Ideally performance should be linked to payments.</w:t>
      </w:r>
      <w:r>
        <w:t xml:space="preserve">  </w:t>
      </w:r>
    </w:p>
    <w:p w14:paraId="342E7B32" w14:textId="77777777" w:rsidR="00720CC0" w:rsidRDefault="00720CC0" w:rsidP="00D465F1">
      <w:pPr>
        <w:pStyle w:val="Heading3"/>
      </w:pPr>
      <w:r>
        <w:t xml:space="preserve">Data Collection </w:t>
      </w:r>
    </w:p>
    <w:p w14:paraId="76390CD8" w14:textId="77777777" w:rsidR="00720CC0" w:rsidRDefault="00720CC0" w:rsidP="00AE785D">
      <w:pPr>
        <w:pStyle w:val="BodyText-parastyle"/>
      </w:pPr>
      <w:r>
        <w:t>Evidence of outcomes and cost avoidance is based on self-reported health service use which can be less reliable and i</w:t>
      </w:r>
      <w:r w:rsidRPr="00632194">
        <w:t xml:space="preserve">deally patient-level </w:t>
      </w:r>
      <w:r>
        <w:t>HSC</w:t>
      </w:r>
      <w:r w:rsidRPr="00632194">
        <w:t xml:space="preserve"> data would be used</w:t>
      </w:r>
      <w:r>
        <w:t xml:space="preserve"> to record use of primary, secondary and social care services. This would include </w:t>
      </w:r>
      <w:r w:rsidRPr="00632194">
        <w:t xml:space="preserve">patient-level </w:t>
      </w:r>
      <w:r>
        <w:t xml:space="preserve">data on number of GP appointments attended; prescriptions received; use of counselling and/or mental health services; inpatient admissions; A + E attendances; outpatient appointments; and support received from a social worker/ social care.  </w:t>
      </w:r>
    </w:p>
    <w:p w14:paraId="05AEB8F4" w14:textId="6A988462" w:rsidR="00720CC0" w:rsidRDefault="00720CC0" w:rsidP="00AE785D">
      <w:pPr>
        <w:pStyle w:val="BodyText-parastyle"/>
      </w:pPr>
      <w:r>
        <w:t xml:space="preserve">Obtaining informed consent from a representative sample of service users to take part in the evaluation was a key challenge. Processes were not initially in place to obtain consent from </w:t>
      </w:r>
      <w:r>
        <w:lastRenderedPageBreak/>
        <w:t>service use</w:t>
      </w:r>
      <w:r w:rsidR="00A74A25">
        <w:t>rs</w:t>
      </w:r>
      <w:r>
        <w:t xml:space="preserve"> at the outset of project delivery and as a result not all were invited to take part in the evaluation. Moreover, the time required to develop data collection tools in line with ECC information governance requirements and put in place processes for obtaining consent meant the time period for data collection was shorter than anticipated. </w:t>
      </w:r>
    </w:p>
    <w:p w14:paraId="1AFA0D22" w14:textId="77777777" w:rsidR="00720CC0" w:rsidRDefault="00720CC0" w:rsidP="00AE785D">
      <w:pPr>
        <w:pStyle w:val="BodyText-parastyle"/>
      </w:pPr>
      <w:r>
        <w:t xml:space="preserve">This </w:t>
      </w:r>
      <w:r w:rsidRPr="00EF4A8E">
        <w:t>impacted on the ro</w:t>
      </w:r>
      <w:r>
        <w:t>bustness of the data collected and a more representative cohort of survey respondents is needed to provide robust evidence of outcomes. It is also necessary to review if the outcomes reported have been sustained and therefore survey respondents or HSC data should be revisited at</w:t>
      </w:r>
      <w:r w:rsidRPr="00632194">
        <w:t xml:space="preserve"> </w:t>
      </w:r>
      <w:r>
        <w:t>6 and</w:t>
      </w:r>
      <w:r w:rsidRPr="00632194">
        <w:t>12 months post referral</w:t>
      </w:r>
      <w:r>
        <w:t>. Follow-up should also be completed</w:t>
      </w:r>
      <w:r w:rsidRPr="00632194">
        <w:t xml:space="preserve"> to </w:t>
      </w:r>
      <w:r>
        <w:t xml:space="preserve">also </w:t>
      </w:r>
      <w:r w:rsidRPr="00632194">
        <w:t>identify outcomes that may not be apparent in the short term.</w:t>
      </w:r>
    </w:p>
    <w:p w14:paraId="05D69670" w14:textId="77777777" w:rsidR="00720CC0" w:rsidRDefault="00720CC0" w:rsidP="00AE785D">
      <w:pPr>
        <w:pStyle w:val="BodyText-parastyle"/>
      </w:pPr>
      <w:r w:rsidRPr="004C31FA">
        <w:rPr>
          <w:b/>
          <w:color w:val="00B0F0"/>
        </w:rPr>
        <w:t>Recommendation:</w:t>
      </w:r>
      <w:r w:rsidRPr="004C31FA">
        <w:t xml:space="preserve"> We recommend that </w:t>
      </w:r>
      <w:r>
        <w:t xml:space="preserve">going forward </w:t>
      </w:r>
      <w:r w:rsidRPr="004C31FA">
        <w:t>health data on service use is sought and recorded for those referred in order for accurate outcomes to be recorded</w:t>
      </w:r>
      <w:r>
        <w:t xml:space="preserve">. Consent should be obtained to access the NHS numbers of Social Prescribing service users, this can then be used to link with data held by the NHS Data Management and Integration Centre on their health service usage before and after engagement with the project. Where applicable an </w:t>
      </w:r>
      <w:r w:rsidRPr="00A379AE">
        <w:t>informati</w:t>
      </w:r>
      <w:r>
        <w:t xml:space="preserve">on sharing agreement or protocol </w:t>
      </w:r>
      <w:r w:rsidRPr="00BC5218">
        <w:t>between organisations sharing personal identifiable information</w:t>
      </w:r>
      <w:r>
        <w:t xml:space="preserve"> may be required</w:t>
      </w:r>
      <w:r w:rsidRPr="00BC5218">
        <w:t>.</w:t>
      </w:r>
      <w:r>
        <w:rPr>
          <w:rStyle w:val="FootnoteReference"/>
        </w:rPr>
        <w:footnoteReference w:id="16"/>
      </w:r>
    </w:p>
    <w:p w14:paraId="14560C4D" w14:textId="77777777" w:rsidR="00720CC0" w:rsidRPr="004C31FA" w:rsidRDefault="00720CC0" w:rsidP="00AE785D">
      <w:pPr>
        <w:pStyle w:val="BodyText-parastyle"/>
      </w:pPr>
      <w:r w:rsidRPr="004C31FA">
        <w:rPr>
          <w:b/>
          <w:color w:val="00B0F0"/>
        </w:rPr>
        <w:t>Recommendation:</w:t>
      </w:r>
      <w:r w:rsidRPr="004C31FA">
        <w:rPr>
          <w:color w:val="00B0F0"/>
        </w:rPr>
        <w:t xml:space="preserve"> </w:t>
      </w:r>
      <w:r w:rsidRPr="004C31FA">
        <w:t>We recommend that</w:t>
      </w:r>
      <w:r>
        <w:t xml:space="preserve"> in order to obtain a robust </w:t>
      </w:r>
      <w:r w:rsidRPr="00DC2F25">
        <w:t>sample size a request for service users to be part of the evaluation process should be embedded as part of the referral process</w:t>
      </w:r>
      <w:r>
        <w:t>, so that users are invited to confirm at the outset their willingness to take part in future evaluations.</w:t>
      </w:r>
    </w:p>
    <w:p w14:paraId="44228FA2" w14:textId="77777777" w:rsidR="00720CC0" w:rsidRDefault="00720CC0" w:rsidP="00AE785D">
      <w:pPr>
        <w:pStyle w:val="BodyText-parastyle"/>
      </w:pPr>
      <w:r w:rsidRPr="004C31FA">
        <w:rPr>
          <w:b/>
          <w:color w:val="00B0F0"/>
        </w:rPr>
        <w:t>Recommendation:</w:t>
      </w:r>
      <w:r w:rsidRPr="004C31FA">
        <w:rPr>
          <w:color w:val="00B0F0"/>
        </w:rPr>
        <w:t xml:space="preserve"> </w:t>
      </w:r>
      <w:r w:rsidRPr="004C31FA">
        <w:t>We recommend that</w:t>
      </w:r>
      <w:r>
        <w:t xml:space="preserve"> given the low response rates and outcome data, further evaluation is required. This should be completed at 6 and 12 months to gather evidence on health service usage and outcomes achieved.</w:t>
      </w:r>
    </w:p>
    <w:p w14:paraId="7CED1363" w14:textId="77777777" w:rsidR="00720CC0" w:rsidRPr="0091520F" w:rsidRDefault="00720CC0" w:rsidP="00AE785D">
      <w:pPr>
        <w:pStyle w:val="BodyText-parastyle"/>
      </w:pPr>
      <w:r w:rsidRPr="004C31FA">
        <w:rPr>
          <w:b/>
          <w:color w:val="00B0F0"/>
        </w:rPr>
        <w:t>Recommendation:</w:t>
      </w:r>
      <w:r w:rsidRPr="004C31FA">
        <w:t xml:space="preserve"> We recommend that </w:t>
      </w:r>
      <w:r>
        <w:t>any delivery organisations for Social Prescribing ECC are made aware of its information governance policy and are required to comply with this as part of their contract/ agreement for funding. This will be of particular importance given the introduction of th</w:t>
      </w:r>
      <w:r w:rsidRPr="0012141C">
        <w:t>e General Data Protection Regulation (GDPR)</w:t>
      </w:r>
      <w:r>
        <w:t xml:space="preserve"> in the UK from May 2018.</w:t>
      </w:r>
    </w:p>
    <w:p w14:paraId="2E0DBF7E" w14:textId="77777777" w:rsidR="00720CC0" w:rsidRPr="004C31FA"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Outcomes</w:t>
      </w:r>
    </w:p>
    <w:p w14:paraId="6078086F" w14:textId="77777777" w:rsidR="00720CC0" w:rsidRDefault="00720CC0" w:rsidP="00720CC0">
      <w:pPr>
        <w:keepNext/>
        <w:widowControl/>
        <w:numPr>
          <w:ilvl w:val="3"/>
          <w:numId w:val="1"/>
        </w:numPr>
        <w:spacing w:before="240" w:after="240"/>
        <w:ind w:left="851" w:hanging="851"/>
        <w:outlineLvl w:val="3"/>
        <w:rPr>
          <w:rFonts w:eastAsia="Times New Roman"/>
          <w:b/>
          <w:bCs/>
          <w:sz w:val="22"/>
          <w:lang w:val="en-GB" w:eastAsia="en-GB"/>
        </w:rPr>
      </w:pPr>
      <w:r w:rsidRPr="004C31FA">
        <w:rPr>
          <w:rFonts w:eastAsia="Times New Roman"/>
          <w:b/>
          <w:bCs/>
          <w:sz w:val="22"/>
          <w:lang w:val="en-GB" w:eastAsia="en-GB"/>
        </w:rPr>
        <w:t>Primary, secondary and social care</w:t>
      </w:r>
    </w:p>
    <w:p w14:paraId="77E864FC" w14:textId="77777777" w:rsidR="00720CC0" w:rsidRPr="004C31FA" w:rsidRDefault="00720CC0" w:rsidP="00AE785D">
      <w:pPr>
        <w:pStyle w:val="BodyText-parastyle"/>
      </w:pPr>
      <w:r>
        <w:t>The RSM PACEC survey results</w:t>
      </w:r>
      <w:r>
        <w:rPr>
          <w:rStyle w:val="FootnoteReference"/>
        </w:rPr>
        <w:footnoteReference w:id="17"/>
      </w:r>
      <w:r>
        <w:t xml:space="preserve"> show that between a quarter and a third of users reported reduced use of primary, secondary and social care. </w:t>
      </w:r>
      <w:r w:rsidRPr="004C31FA">
        <w:t xml:space="preserve">Based on self-reported data </w:t>
      </w:r>
      <w:r w:rsidRPr="004C31FA">
        <w:lastRenderedPageBreak/>
        <w:t xml:space="preserve">provided by 136 </w:t>
      </w:r>
      <w:r>
        <w:t>survey respondents</w:t>
      </w:r>
      <w:r w:rsidRPr="004C31FA">
        <w:t xml:space="preserve"> the Social Prescribing projects have had</w:t>
      </w:r>
      <w:r>
        <w:t xml:space="preserve"> the following impacts: </w:t>
      </w:r>
    </w:p>
    <w:p w14:paraId="29770F82" w14:textId="77777777" w:rsidR="00720CC0" w:rsidRPr="004C31FA" w:rsidRDefault="00720CC0" w:rsidP="00D53262">
      <w:pPr>
        <w:pStyle w:val="ListParagraph"/>
      </w:pPr>
      <w:r w:rsidRPr="004C31FA">
        <w:rPr>
          <w:color w:val="00B0F0"/>
        </w:rPr>
        <w:t xml:space="preserve">Reduced use of primary care </w:t>
      </w:r>
      <w:r w:rsidRPr="004C31FA">
        <w:t xml:space="preserve">– 59% (n=74) of survey respondents (n=125) reported reduced number of hours spent with their GP and 34% (n=46) of survey respondents reported reduced number of prescriptions received </w:t>
      </w:r>
    </w:p>
    <w:p w14:paraId="579AC0B9" w14:textId="7E75BF4E" w:rsidR="00720CC0" w:rsidRPr="004C31FA" w:rsidRDefault="00720CC0" w:rsidP="00D53262">
      <w:pPr>
        <w:pStyle w:val="ListParagraph"/>
      </w:pPr>
      <w:r w:rsidRPr="004C31FA">
        <w:rPr>
          <w:color w:val="00B0F0"/>
        </w:rPr>
        <w:t xml:space="preserve">Reduced use of secondary care </w:t>
      </w:r>
      <w:r w:rsidRPr="004C31FA">
        <w:t>– 31% (n=42) respondents of survey reported a reduction in ou</w:t>
      </w:r>
      <w:r>
        <w:t xml:space="preserve">tpatient appointments attended. This compares </w:t>
      </w:r>
      <w:r w:rsidR="00C70808">
        <w:t>favorably</w:t>
      </w:r>
      <w:r>
        <w:t xml:space="preserve"> with the findings from the Rotherham Social Prescribing pilot which reported a reduction of 21% in the number of outpatient appointments</w:t>
      </w:r>
      <w:r>
        <w:rPr>
          <w:rStyle w:val="FootnoteReference"/>
        </w:rPr>
        <w:footnoteReference w:id="18"/>
      </w:r>
    </w:p>
    <w:p w14:paraId="66E05285" w14:textId="77777777" w:rsidR="00720CC0" w:rsidRPr="006D6D98" w:rsidRDefault="00720CC0" w:rsidP="00D53262">
      <w:pPr>
        <w:pStyle w:val="ListParagraph"/>
      </w:pPr>
      <w:r w:rsidRPr="004C31FA">
        <w:rPr>
          <w:color w:val="00B0F0"/>
        </w:rPr>
        <w:t xml:space="preserve">Reduced use of social care </w:t>
      </w:r>
      <w:r w:rsidRPr="004C31FA">
        <w:t>- 25% (n=33) of survey respondents reported reduced hours of support from a social worker</w:t>
      </w:r>
    </w:p>
    <w:p w14:paraId="46CAA5F0" w14:textId="77777777" w:rsidR="00720CC0" w:rsidRPr="00CB5494" w:rsidRDefault="00720CC0" w:rsidP="00AE785D">
      <w:pPr>
        <w:pStyle w:val="BodyText-parastyle"/>
      </w:pPr>
      <w:r w:rsidRPr="004C31FA">
        <w:t>There is also anecdotal evidence from stakeholder consultees (GPs and other healthcare staff) that those they have referred now see their GP less f</w:t>
      </w:r>
      <w:r>
        <w:t xml:space="preserve">or social / non-medical issues. This was supported by survey findings which highlighted that the greatest reduction reported was in the number of hours they spent with their GP, suggesting </w:t>
      </w:r>
      <w:r w:rsidRPr="004C31FA">
        <w:t>that GPs may receive the greater immediate benefit from Social Prescribing</w:t>
      </w:r>
      <w:r>
        <w:t>. F</w:t>
      </w:r>
      <w:r w:rsidRPr="004F5053">
        <w:t>eedback from</w:t>
      </w:r>
      <w:r>
        <w:t xml:space="preserve"> a range of consultees highlighted the impact on primary care in their area, for example:</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69"/>
      </w:tblGrid>
      <w:tr w:rsidR="00720CC0" w14:paraId="52DFA356" w14:textId="77777777" w:rsidTr="00520950">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auto"/>
          </w:tcPr>
          <w:p w14:paraId="674CB80F" w14:textId="77777777" w:rsidR="00720CC0" w:rsidRDefault="00720CC0" w:rsidP="00AE785D">
            <w:pPr>
              <w:pStyle w:val="BodyText-parastyle"/>
            </w:pPr>
            <w:r>
              <w:t>O</w:t>
            </w:r>
            <w:r w:rsidRPr="004F5053">
              <w:t xml:space="preserve">ne GP </w:t>
            </w:r>
            <w:r>
              <w:t xml:space="preserve">interviewed for the Basildon and Brentwood Social Prescribing project </w:t>
            </w:r>
            <w:r w:rsidRPr="004F5053">
              <w:t>highlighted that many of the patients they have referred no longer come back to see them for the same issues</w:t>
            </w:r>
            <w:r>
              <w:t>.</w:t>
            </w:r>
          </w:p>
          <w:p w14:paraId="053E096B" w14:textId="77777777" w:rsidR="00720CC0" w:rsidRDefault="00720CC0" w:rsidP="00AE785D">
            <w:pPr>
              <w:pStyle w:val="BodyText-parastyle"/>
            </w:pPr>
            <w:r>
              <w:t>It was noted that</w:t>
            </w:r>
            <w:r w:rsidRPr="004F5053">
              <w:t xml:space="preserve"> since referring to the Social Prescribing project they have made fewer referr</w:t>
            </w:r>
            <w:r>
              <w:t>als to the mental health team. T</w:t>
            </w:r>
            <w:r w:rsidRPr="004F5053">
              <w:t xml:space="preserve">his </w:t>
            </w:r>
            <w:r>
              <w:t xml:space="preserve">was particularly in relation to </w:t>
            </w:r>
            <w:r w:rsidRPr="004F5053">
              <w:t>frequent attenders who need social support but have no medical ne</w:t>
            </w:r>
            <w:r>
              <w:t>eds (e.g. are socially isolated or</w:t>
            </w:r>
            <w:r w:rsidRPr="004F5053">
              <w:t xml:space="preserve"> need help with financial issues that are impacting on their</w:t>
            </w:r>
            <w:r>
              <w:t xml:space="preserve"> overall health and wellbeing).</w:t>
            </w:r>
          </w:p>
          <w:p w14:paraId="37FC0BEA" w14:textId="77777777" w:rsidR="00720CC0" w:rsidRDefault="00720CC0" w:rsidP="00AE785D">
            <w:pPr>
              <w:pStyle w:val="BodyText-parastyle"/>
            </w:pPr>
            <w:r>
              <w:t xml:space="preserve">As a result they believed the project </w:t>
            </w:r>
            <w:r w:rsidRPr="004F5053">
              <w:t>has helped to reduce the number of unnecessary appointments.</w:t>
            </w:r>
          </w:p>
          <w:p w14:paraId="5B61D2C4" w14:textId="77777777" w:rsidR="00720CC0" w:rsidRDefault="00720CC0" w:rsidP="00AE785D">
            <w:pPr>
              <w:pStyle w:val="BodyText-parastyle"/>
            </w:pPr>
            <w:r>
              <w:t xml:space="preserve">- Consultee Interview for the Basildon and Brentwood Social Prescribing Project </w:t>
            </w:r>
          </w:p>
        </w:tc>
      </w:tr>
    </w:tbl>
    <w:p w14:paraId="6889F6ED" w14:textId="77777777" w:rsidR="00720CC0" w:rsidRPr="004C31FA" w:rsidRDefault="00720CC0" w:rsidP="00720CC0">
      <w:pPr>
        <w:keepNext/>
        <w:widowControl/>
        <w:numPr>
          <w:ilvl w:val="3"/>
          <w:numId w:val="1"/>
        </w:numPr>
        <w:spacing w:before="240" w:after="240"/>
        <w:ind w:left="851" w:hanging="851"/>
        <w:outlineLvl w:val="3"/>
        <w:rPr>
          <w:rFonts w:eastAsia="Times New Roman"/>
          <w:b/>
          <w:bCs/>
          <w:sz w:val="22"/>
          <w:lang w:val="en-GB" w:eastAsia="en-GB"/>
        </w:rPr>
      </w:pPr>
      <w:r w:rsidRPr="004C31FA">
        <w:rPr>
          <w:rFonts w:eastAsia="Times New Roman"/>
          <w:b/>
          <w:bCs/>
          <w:sz w:val="22"/>
          <w:lang w:val="en-GB" w:eastAsia="en-GB"/>
        </w:rPr>
        <w:t>Social / health and wellbeing outcomes</w:t>
      </w:r>
    </w:p>
    <w:p w14:paraId="26776A36" w14:textId="2E9AA482" w:rsidR="00720CC0" w:rsidRDefault="00720CC0" w:rsidP="00AE785D">
      <w:pPr>
        <w:pStyle w:val="BodyText-parastyle"/>
      </w:pPr>
      <w:r w:rsidRPr="004C31FA">
        <w:t xml:space="preserve">Respondents reported improvements in wellbeing following their referral to the service with over 50% reporting an increase in feelings of satisfaction with life, feelings of life being worthwhile and </w:t>
      </w:r>
      <w:r>
        <w:t xml:space="preserve">feelings of </w:t>
      </w:r>
      <w:r w:rsidRPr="004C31FA">
        <w:t xml:space="preserve">happiness </w:t>
      </w:r>
      <w:r>
        <w:t>while</w:t>
      </w:r>
      <w:r w:rsidRPr="004C31FA">
        <w:t xml:space="preserve"> 47% (n=61) report</w:t>
      </w:r>
      <w:r>
        <w:t xml:space="preserve">ed </w:t>
      </w:r>
      <w:r w:rsidRPr="004C31FA">
        <w:t xml:space="preserve">a decrease in feelings of anxiety. In addition the mean scores for life satisfaction, </w:t>
      </w:r>
      <w:r>
        <w:t xml:space="preserve">feelings of life being </w:t>
      </w:r>
      <w:r w:rsidRPr="004C31FA">
        <w:t>worthwhile and happiness increased and the mean score for anxiety decreased</w:t>
      </w:r>
      <w:r>
        <w:t>,</w:t>
      </w:r>
      <w:r w:rsidRPr="004C31FA">
        <w:t xml:space="preserve"> however respondents </w:t>
      </w:r>
      <w:r w:rsidRPr="004C31FA">
        <w:lastRenderedPageBreak/>
        <w:t>remained within the ‘medium’ wellbeing group and below the ONS averages</w:t>
      </w:r>
      <w:r w:rsidRPr="004C31FA">
        <w:rPr>
          <w:vertAlign w:val="superscript"/>
        </w:rPr>
        <w:footnoteReference w:id="19"/>
      </w:r>
      <w:r w:rsidR="00ED58F0">
        <w:t xml:space="preserve"> for each group. </w:t>
      </w:r>
      <w:r w:rsidRPr="004C31FA">
        <w:t>In addition there is some evidence of improvement in social connectedness, increased optimism and redu</w:t>
      </w:r>
      <w:r>
        <w:t>ced feelings of depression. Q</w:t>
      </w:r>
      <w:r w:rsidRPr="004C31FA">
        <w:t xml:space="preserve">ualitative feedback via service user case studies and stakeholder feedback suggests that the support provided has helped to increase independence and confidence to </w:t>
      </w:r>
      <w:r>
        <w:t>allow users’ engagement</w:t>
      </w:r>
      <w:r w:rsidRPr="004C31FA">
        <w:t xml:space="preserve"> in community activities </w:t>
      </w:r>
      <w:r>
        <w:t>in which</w:t>
      </w:r>
      <w:r w:rsidRPr="004C31FA">
        <w:t xml:space="preserve"> they </w:t>
      </w:r>
      <w:r>
        <w:t xml:space="preserve">may not otherwise have participated. </w:t>
      </w:r>
    </w:p>
    <w:p w14:paraId="4E324FB7" w14:textId="77777777" w:rsidR="00720CC0" w:rsidRDefault="00720CC0" w:rsidP="00AE785D">
      <w:pPr>
        <w:pStyle w:val="BodyText-parastyle"/>
      </w:pPr>
      <w:r w:rsidRPr="004C31FA">
        <w:t>Overall there ha</w:t>
      </w:r>
      <w:r>
        <w:t>s</w:t>
      </w:r>
      <w:r w:rsidRPr="004C31FA">
        <w:t xml:space="preserve"> not been statistically significant changes in reported social outcomes / wellbeing during the evaluation period (3 months). </w:t>
      </w:r>
      <w:r>
        <w:t xml:space="preserve"> However the </w:t>
      </w:r>
      <w:r w:rsidRPr="00CD1332">
        <w:t>benefits of Social Prescribing may take</w:t>
      </w:r>
      <w:r>
        <w:t xml:space="preserve"> time to accumulate and in some cases will only be evident in the longer term. In particular, behaviour change and self-care / self-management can take time to </w:t>
      </w:r>
      <w:r w:rsidRPr="00BC30DE">
        <w:t xml:space="preserve">embed and </w:t>
      </w:r>
      <w:r>
        <w:t>where the model involves the training of SPCs the knowledge and learning from the training can take time to translate into referrals.</w:t>
      </w:r>
    </w:p>
    <w:p w14:paraId="7B28FEDC" w14:textId="77777777" w:rsidR="00720CC0" w:rsidRPr="004C31FA" w:rsidRDefault="00720CC0" w:rsidP="00720CC0">
      <w:pPr>
        <w:keepNext/>
        <w:widowControl/>
        <w:numPr>
          <w:ilvl w:val="3"/>
          <w:numId w:val="1"/>
        </w:numPr>
        <w:spacing w:before="240" w:after="240"/>
        <w:ind w:left="851" w:hanging="851"/>
        <w:outlineLvl w:val="3"/>
        <w:rPr>
          <w:rFonts w:eastAsia="Times New Roman"/>
          <w:b/>
          <w:bCs/>
          <w:sz w:val="22"/>
          <w:lang w:val="en-GB" w:eastAsia="en-GB"/>
        </w:rPr>
      </w:pPr>
      <w:r w:rsidRPr="004C31FA">
        <w:rPr>
          <w:rFonts w:eastAsia="Times New Roman"/>
          <w:b/>
          <w:bCs/>
          <w:sz w:val="22"/>
          <w:lang w:val="en-GB" w:eastAsia="en-GB"/>
        </w:rPr>
        <w:t>Stakeholder feedback</w:t>
      </w:r>
    </w:p>
    <w:p w14:paraId="6EC646E3" w14:textId="77777777" w:rsidR="00720CC0" w:rsidRDefault="00720CC0" w:rsidP="00AE785D">
      <w:pPr>
        <w:pStyle w:val="BodyText-parastyle"/>
      </w:pPr>
      <w:r w:rsidRPr="004C31FA">
        <w:t>All consultees were positive about the service being provided and believed that while a range of organisations existed to support different needs, this was fragmented and it was not possible for many of those making referrals (e.g. GPs, social care, police etc.) to be</w:t>
      </w:r>
      <w:r>
        <w:t xml:space="preserve"> aware of what was available,</w:t>
      </w:r>
      <w:r w:rsidRPr="004C31FA">
        <w:t xml:space="preserve"> as result the Social Prescribing projects served as a conduit to fill this gap in the market. </w:t>
      </w:r>
    </w:p>
    <w:p w14:paraId="744BDCE2" w14:textId="0C095505" w:rsidR="00720CC0" w:rsidRDefault="00720CC0" w:rsidP="00AE785D">
      <w:pPr>
        <w:pStyle w:val="BodyText-parastyle"/>
      </w:pPr>
      <w:r w:rsidRPr="004C31FA">
        <w:t>It was suggested that without Social Prescribing</w:t>
      </w:r>
      <w:r>
        <w:t>,</w:t>
      </w:r>
      <w:r w:rsidRPr="004C31FA">
        <w:t xml:space="preserve"> GPs / other referring organisations or individuals would not have the knowledge to signpost those in need of support to the most appropriate organisation.</w:t>
      </w:r>
    </w:p>
    <w:p w14:paraId="1D65C2D0" w14:textId="77777777" w:rsidR="00720CC0" w:rsidRDefault="00720CC0" w:rsidP="00AE785D">
      <w:pPr>
        <w:pStyle w:val="BodyText-parastyle"/>
      </w:pPr>
      <w:r>
        <w:t xml:space="preserve">Stakeholder </w:t>
      </w:r>
      <w:r w:rsidRPr="001A0253">
        <w:t xml:space="preserve">consultees </w:t>
      </w:r>
      <w:r>
        <w:t xml:space="preserve">also </w:t>
      </w:r>
      <w:r w:rsidRPr="001A0253">
        <w:t xml:space="preserve">suggested that a key element </w:t>
      </w:r>
      <w:r>
        <w:t>the Social Prescribing projects was</w:t>
      </w:r>
      <w:r w:rsidRPr="001A0253">
        <w:t xml:space="preserve"> the unique and tailored support provide</w:t>
      </w:r>
      <w:r>
        <w:t>d</w:t>
      </w:r>
      <w:r w:rsidRPr="001A0253">
        <w:t xml:space="preserve"> that resul</w:t>
      </w:r>
      <w:r>
        <w:t>ted</w:t>
      </w:r>
      <w:r w:rsidRPr="001A0253">
        <w:t xml:space="preserve"> in the best possible outcome for the people they refer</w:t>
      </w:r>
      <w:r>
        <w:t xml:space="preserve">red, for example: </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720CC0" w14:paraId="420C09C1" w14:textId="77777777" w:rsidTr="00520950">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63EF7103" w14:textId="190BD6B6" w:rsidR="00720CC0" w:rsidRDefault="00720CC0" w:rsidP="00AE785D">
            <w:pPr>
              <w:pStyle w:val="BodyText-parastyle"/>
            </w:pPr>
            <w:r>
              <w:t>A</w:t>
            </w:r>
            <w:r w:rsidRPr="003A2DBB">
              <w:t xml:space="preserve"> representative from Rochford &amp; Castle Point District police noted they referred a </w:t>
            </w:r>
            <w:r w:rsidR="00C70808" w:rsidRPr="003A2DBB">
              <w:t>middle-aged</w:t>
            </w:r>
            <w:r w:rsidRPr="003A2DBB">
              <w:t xml:space="preserve"> man with financial difficulties who had been reported missing on two occasions to </w:t>
            </w:r>
            <w:r>
              <w:t>‘</w:t>
            </w:r>
            <w:r w:rsidRPr="003A2DBB">
              <w:t>Ways to Wellness</w:t>
            </w:r>
            <w:r>
              <w:t>’</w:t>
            </w:r>
            <w:r w:rsidRPr="003A2DBB">
              <w:t xml:space="preserve">. </w:t>
            </w:r>
          </w:p>
          <w:p w14:paraId="73CF7CEB" w14:textId="77777777" w:rsidR="00720CC0" w:rsidRDefault="00720CC0" w:rsidP="00AE785D">
            <w:pPr>
              <w:pStyle w:val="BodyText-parastyle"/>
              <w:rPr>
                <w:i/>
              </w:rPr>
            </w:pPr>
            <w:r w:rsidRPr="003A2DBB">
              <w:t xml:space="preserve">Thereafter the individual has not been reported to them and the consultee believed this to be a positive sign that he received the support he needed. In addition, </w:t>
            </w:r>
            <w:r>
              <w:t xml:space="preserve">while </w:t>
            </w:r>
            <w:r w:rsidRPr="003A2DBB">
              <w:t xml:space="preserve">it was stated that they did not have evidence of specific impacts for </w:t>
            </w:r>
            <w:r>
              <w:t>people they referred</w:t>
            </w:r>
            <w:r w:rsidRPr="003A2DBB">
              <w:t xml:space="preserve">, they believed these to be positive, suggesting </w:t>
            </w:r>
            <w:r w:rsidRPr="003A2DBB">
              <w:rPr>
                <w:i/>
              </w:rPr>
              <w:t xml:space="preserve">“by default the project must be relieving pressure down the line by preventing the “low risk’ cases becoming high risk cases, for example by preventing an individual becoming suicidal due to financial issues that could be resolved </w:t>
            </w:r>
            <w:r w:rsidRPr="003A2DBB">
              <w:rPr>
                <w:i/>
              </w:rPr>
              <w:lastRenderedPageBreak/>
              <w:t>with the right form of support”</w:t>
            </w:r>
          </w:p>
          <w:p w14:paraId="79F834BC" w14:textId="77777777" w:rsidR="00720CC0" w:rsidRDefault="00720CC0" w:rsidP="00AE785D">
            <w:pPr>
              <w:pStyle w:val="BodyText-parastyle"/>
            </w:pPr>
            <w:r>
              <w:t>- Consultee Interview for the Castle Point and Rochford Ways to Wellness Project</w:t>
            </w:r>
          </w:p>
        </w:tc>
      </w:tr>
    </w:tbl>
    <w:p w14:paraId="62DF1BE2" w14:textId="77777777" w:rsidR="00720CC0" w:rsidRDefault="00720CC0" w:rsidP="00AE785D">
      <w:pPr>
        <w:pStyle w:val="BodyText-parastyle"/>
      </w:pPr>
    </w:p>
    <w:p w14:paraId="243DA716" w14:textId="77777777" w:rsidR="00720CC0" w:rsidRPr="004C31FA"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Cost Effectiveness / Cost Avoidance</w:t>
      </w:r>
      <w:r>
        <w:rPr>
          <w:rFonts w:eastAsia="Times New Roman"/>
          <w:b/>
          <w:bCs/>
          <w:color w:val="009CDE"/>
          <w:sz w:val="24"/>
          <w:lang w:val="en-GB" w:eastAsia="en-GB"/>
        </w:rPr>
        <w:t xml:space="preserve"> and Cost Effectiveness</w:t>
      </w:r>
    </w:p>
    <w:p w14:paraId="6C3FC5BD" w14:textId="0C3E11C1" w:rsidR="00720CC0" w:rsidRDefault="00720CC0" w:rsidP="00AE785D">
      <w:pPr>
        <w:pStyle w:val="BodyText-parastyle"/>
      </w:pPr>
      <w:r w:rsidRPr="004C31FA">
        <w:t>There is evidence to suggest that the Social Prescribing projects have helped to reduce the use of primary, secondary and social care services and result</w:t>
      </w:r>
      <w:r>
        <w:t>ed</w:t>
      </w:r>
      <w:r w:rsidRPr="004C31FA">
        <w:t xml:space="preserve"> in costs avoided t</w:t>
      </w:r>
      <w:r>
        <w:t xml:space="preserve">o the health service totalling </w:t>
      </w:r>
      <w:r w:rsidRPr="004C31FA">
        <w:t>£</w:t>
      </w:r>
      <w:r w:rsidRPr="006D6D98">
        <w:t xml:space="preserve">39,726 </w:t>
      </w:r>
      <w:r w:rsidRPr="004C31FA">
        <w:t>(combined net cost avoidance</w:t>
      </w:r>
      <w:r>
        <w:rPr>
          <w:rStyle w:val="FootnoteReference"/>
        </w:rPr>
        <w:footnoteReference w:id="20"/>
      </w:r>
      <w:r w:rsidRPr="004C31FA">
        <w:t xml:space="preserve"> calculated for primary, secondary and social care</w:t>
      </w:r>
      <w:r>
        <w:t xml:space="preserve"> </w:t>
      </w:r>
      <w:r w:rsidRPr="003C61D9">
        <w:t xml:space="preserve">based on self-reported data provided by </w:t>
      </w:r>
      <w:r>
        <w:t>136</w:t>
      </w:r>
      <w:r w:rsidRPr="003C61D9">
        <w:t xml:space="preserve"> patients / service users</w:t>
      </w:r>
      <w:r w:rsidRPr="004C31FA">
        <w:t>)</w:t>
      </w:r>
      <w:r>
        <w:t xml:space="preserve"> over a </w:t>
      </w:r>
      <w:r w:rsidR="00C70808">
        <w:t>3-month</w:t>
      </w:r>
      <w:r>
        <w:t xml:space="preserve"> period</w:t>
      </w:r>
      <w:r w:rsidRPr="004C31FA">
        <w:t>.</w:t>
      </w:r>
      <w:r>
        <w:t xml:space="preserve"> </w:t>
      </w:r>
    </w:p>
    <w:p w14:paraId="6591E030" w14:textId="77777777" w:rsidR="00720CC0" w:rsidRPr="004C31FA" w:rsidRDefault="00720CC0" w:rsidP="00720CC0">
      <w:pPr>
        <w:widowControl/>
        <w:spacing w:before="0" w:after="240" w:line="240" w:lineRule="atLeast"/>
        <w:rPr>
          <w:rFonts w:eastAsia="Times New Roman"/>
          <w:sz w:val="24"/>
          <w:lang w:val="en-GB" w:eastAsia="en-GB"/>
        </w:rPr>
      </w:pPr>
      <w:r w:rsidRPr="004C31FA">
        <w:rPr>
          <w:rFonts w:eastAsia="Times New Roman"/>
          <w:sz w:val="24"/>
          <w:lang w:val="en-GB" w:eastAsia="en-GB"/>
        </w:rPr>
        <w:t>A number of positive economic benefits have been estimated:</w:t>
      </w:r>
    </w:p>
    <w:p w14:paraId="28528D72" w14:textId="4D830B01" w:rsidR="00720CC0" w:rsidRPr="004C31FA" w:rsidRDefault="00720CC0" w:rsidP="00D53262">
      <w:pPr>
        <w:pStyle w:val="ListParagraph"/>
      </w:pPr>
      <w:r w:rsidRPr="004C31FA">
        <w:rPr>
          <w:color w:val="00B0F0"/>
        </w:rPr>
        <w:t xml:space="preserve">Primary care </w:t>
      </w:r>
      <w:r>
        <w:rPr>
          <w:color w:val="00B0F0"/>
        </w:rPr>
        <w:t>(based on 136</w:t>
      </w:r>
      <w:r w:rsidRPr="003C61D9">
        <w:rPr>
          <w:color w:val="00B0F0"/>
        </w:rPr>
        <w:t xml:space="preserve"> patients / service users</w:t>
      </w:r>
      <w:r>
        <w:rPr>
          <w:rStyle w:val="FootnoteReference"/>
          <w:color w:val="00B0F0"/>
        </w:rPr>
        <w:footnoteReference w:id="21"/>
      </w:r>
      <w:r>
        <w:rPr>
          <w:color w:val="00B0F0"/>
        </w:rPr>
        <w:t xml:space="preserve">) </w:t>
      </w:r>
      <w:r w:rsidRPr="004C31FA">
        <w:t xml:space="preserve">– costs </w:t>
      </w:r>
      <w:r w:rsidR="004419E2">
        <w:t xml:space="preserve">were </w:t>
      </w:r>
      <w:r w:rsidRPr="004C31FA">
        <w:t>avoided in relation to hours spen</w:t>
      </w:r>
      <w:r w:rsidR="007207A6">
        <w:t>t</w:t>
      </w:r>
      <w:r w:rsidRPr="004C31FA">
        <w:t xml:space="preserve"> with a GP</w:t>
      </w:r>
      <w:r w:rsidR="004E5C44">
        <w:t xml:space="preserve"> (</w:t>
      </w:r>
      <w:r w:rsidR="004E5C44" w:rsidRPr="004E5C44">
        <w:t>£9,478</w:t>
      </w:r>
      <w:r w:rsidR="004E5C44">
        <w:t>)</w:t>
      </w:r>
      <w:r w:rsidRPr="004C31FA">
        <w:t xml:space="preserve"> and prescriptions received</w:t>
      </w:r>
      <w:r w:rsidR="004E5C44">
        <w:t xml:space="preserve"> (</w:t>
      </w:r>
      <w:r w:rsidR="004E5C44" w:rsidRPr="00672DE7">
        <w:t>£5,658</w:t>
      </w:r>
      <w:r w:rsidR="004E5C44">
        <w:t>)</w:t>
      </w:r>
      <w:r>
        <w:t>,</w:t>
      </w:r>
      <w:r w:rsidRPr="004C31FA">
        <w:t xml:space="preserve"> however </w:t>
      </w:r>
      <w:r w:rsidR="004E5C44">
        <w:t xml:space="preserve">respondents </w:t>
      </w:r>
      <w:r w:rsidR="002E131B">
        <w:t xml:space="preserve">reported </w:t>
      </w:r>
      <w:r w:rsidR="004E5C44">
        <w:t xml:space="preserve">an increase in </w:t>
      </w:r>
      <w:r w:rsidR="00C70808">
        <w:t xml:space="preserve">the </w:t>
      </w:r>
      <w:r w:rsidR="00C70808" w:rsidRPr="004C31FA">
        <w:t>use</w:t>
      </w:r>
      <w:r w:rsidRPr="004C31FA">
        <w:t xml:space="preserve"> of counselling services </w:t>
      </w:r>
      <w:r w:rsidR="004E5C44">
        <w:t>(</w:t>
      </w:r>
      <w:r w:rsidR="004E5C44" w:rsidRPr="00672DE7">
        <w:t>£2,238</w:t>
      </w:r>
      <w:r w:rsidR="004E5C44">
        <w:t xml:space="preserve">) </w:t>
      </w:r>
      <w:r w:rsidRPr="004C31FA">
        <w:t>and mental</w:t>
      </w:r>
      <w:r w:rsidR="00E13DCF">
        <w:t xml:space="preserve"> health support in the community </w:t>
      </w:r>
      <w:r w:rsidR="004E5C44">
        <w:t>(</w:t>
      </w:r>
      <w:r w:rsidR="004E5C44" w:rsidRPr="00672DE7">
        <w:t>£14,976</w:t>
      </w:r>
      <w:r w:rsidR="004E5C44">
        <w:t>)</w:t>
      </w:r>
      <w:r w:rsidRPr="004C31FA">
        <w:t>. Estimated total cost incurred: £2,07</w:t>
      </w:r>
      <w:r>
        <w:t>8</w:t>
      </w:r>
    </w:p>
    <w:p w14:paraId="0209197F" w14:textId="7E6FA9E5" w:rsidR="00720CC0" w:rsidRPr="004C31FA" w:rsidRDefault="00720CC0" w:rsidP="00D53262">
      <w:pPr>
        <w:pStyle w:val="ListParagraph"/>
      </w:pPr>
      <w:r w:rsidRPr="004C31FA">
        <w:rPr>
          <w:color w:val="00B0F0"/>
        </w:rPr>
        <w:t>Secondary care</w:t>
      </w:r>
      <w:r>
        <w:rPr>
          <w:color w:val="00B0F0"/>
        </w:rPr>
        <w:t xml:space="preserve"> (based on 136</w:t>
      </w:r>
      <w:r w:rsidRPr="003C61D9">
        <w:rPr>
          <w:color w:val="00B0F0"/>
        </w:rPr>
        <w:t xml:space="preserve"> patients / service users</w:t>
      </w:r>
      <w:r>
        <w:rPr>
          <w:color w:val="00B0F0"/>
        </w:rPr>
        <w:t>)</w:t>
      </w:r>
      <w:r w:rsidRPr="004C31FA">
        <w:rPr>
          <w:color w:val="00B0F0"/>
        </w:rPr>
        <w:t xml:space="preserve"> </w:t>
      </w:r>
      <w:r w:rsidRPr="004C31FA">
        <w:t xml:space="preserve">– costs </w:t>
      </w:r>
      <w:r w:rsidR="004419E2">
        <w:t xml:space="preserve">were </w:t>
      </w:r>
      <w:r w:rsidRPr="004C31FA">
        <w:t>avoided in relation to attendance at A+E</w:t>
      </w:r>
      <w:r w:rsidR="004E5C44">
        <w:t xml:space="preserve"> (</w:t>
      </w:r>
      <w:r w:rsidR="004E5C44" w:rsidRPr="0024049C">
        <w:t>£1,080</w:t>
      </w:r>
      <w:r w:rsidR="004E5C44">
        <w:t>)</w:t>
      </w:r>
      <w:r w:rsidRPr="004C31FA">
        <w:t>, outpatient attendances</w:t>
      </w:r>
      <w:r w:rsidR="004E5C44">
        <w:t xml:space="preserve"> (</w:t>
      </w:r>
      <w:r w:rsidR="004E5C44" w:rsidRPr="0024049C">
        <w:t>£4,662</w:t>
      </w:r>
      <w:r w:rsidR="004E5C44">
        <w:t>)</w:t>
      </w:r>
      <w:r w:rsidRPr="004C31FA">
        <w:t xml:space="preserve"> and admission to hospital</w:t>
      </w:r>
      <w:r w:rsidR="004E5C44">
        <w:t xml:space="preserve"> for a planned procedure (</w:t>
      </w:r>
      <w:r w:rsidR="004E5C44" w:rsidRPr="0024049C">
        <w:t>£3,614</w:t>
      </w:r>
      <w:r w:rsidR="004E5C44">
        <w:t xml:space="preserve">) </w:t>
      </w:r>
      <w:r w:rsidR="002E131B">
        <w:t>/</w:t>
      </w:r>
      <w:r w:rsidR="004E5C44">
        <w:t xml:space="preserve"> for an emergency (</w:t>
      </w:r>
      <w:r w:rsidR="004E5C44" w:rsidRPr="004E5C44">
        <w:t>£27,105</w:t>
      </w:r>
      <w:r w:rsidR="004E5C44">
        <w:t>)</w:t>
      </w:r>
      <w:r w:rsidRPr="004C31FA">
        <w:t>. Es</w:t>
      </w:r>
      <w:r>
        <w:t xml:space="preserve">timated total cost avoidance: </w:t>
      </w:r>
      <w:r w:rsidRPr="004C31FA">
        <w:t>£</w:t>
      </w:r>
      <w:r w:rsidRPr="003A5DD2">
        <w:t>36,461</w:t>
      </w:r>
    </w:p>
    <w:p w14:paraId="3223D0C3" w14:textId="1CD5C23C" w:rsidR="00720CC0" w:rsidRDefault="00720CC0" w:rsidP="00D53262">
      <w:pPr>
        <w:pStyle w:val="ListParagraph"/>
      </w:pPr>
      <w:r w:rsidRPr="006D6D98">
        <w:rPr>
          <w:color w:val="00B0F0"/>
        </w:rPr>
        <w:t xml:space="preserve">Social care </w:t>
      </w:r>
      <w:r>
        <w:rPr>
          <w:color w:val="00B0F0"/>
        </w:rPr>
        <w:t>(based on 134</w:t>
      </w:r>
      <w:r w:rsidRPr="003C61D9">
        <w:rPr>
          <w:color w:val="00B0F0"/>
        </w:rPr>
        <w:t xml:space="preserve"> patients / service users</w:t>
      </w:r>
      <w:r>
        <w:rPr>
          <w:rStyle w:val="FootnoteReference"/>
          <w:color w:val="00B0F0"/>
        </w:rPr>
        <w:footnoteReference w:id="22"/>
      </w:r>
      <w:r>
        <w:rPr>
          <w:color w:val="00B0F0"/>
        </w:rPr>
        <w:t xml:space="preserve">) </w:t>
      </w:r>
      <w:r w:rsidRPr="006D6D98">
        <w:t xml:space="preserve">– costs </w:t>
      </w:r>
      <w:r w:rsidR="004419E2">
        <w:t xml:space="preserve">were </w:t>
      </w:r>
      <w:r w:rsidRPr="006D6D98">
        <w:t>avoided in relation to hours spent with a social worker. E</w:t>
      </w:r>
      <w:r>
        <w:t xml:space="preserve">stimated total cost avoidance: </w:t>
      </w:r>
      <w:r w:rsidRPr="006D6D98">
        <w:t>£</w:t>
      </w:r>
      <w:r w:rsidRPr="003A5DD2">
        <w:t>5,343</w:t>
      </w:r>
    </w:p>
    <w:p w14:paraId="230CA874" w14:textId="7B0608B6" w:rsidR="00720CC0" w:rsidRPr="006D6D98" w:rsidRDefault="00720CC0" w:rsidP="00F938AF">
      <w:pPr>
        <w:pStyle w:val="ListParagraph"/>
      </w:pPr>
      <w:bookmarkStart w:id="19" w:name="_Hlk497932393"/>
      <w:r w:rsidRPr="00A0730D">
        <w:rPr>
          <w:color w:val="00B0F0"/>
        </w:rPr>
        <w:t xml:space="preserve">Quality Adjusted Life Years </w:t>
      </w:r>
      <w:r>
        <w:rPr>
          <w:color w:val="00B0F0"/>
        </w:rPr>
        <w:t>(QALYs)</w:t>
      </w:r>
      <w:r>
        <w:rPr>
          <w:rStyle w:val="FootnoteReference"/>
          <w:color w:val="00B0F0"/>
        </w:rPr>
        <w:footnoteReference w:id="23"/>
      </w:r>
      <w:r>
        <w:rPr>
          <w:color w:val="00B0F0"/>
        </w:rPr>
        <w:t xml:space="preserve"> </w:t>
      </w:r>
      <w:r w:rsidR="00F938AF">
        <w:t>–</w:t>
      </w:r>
      <w:r>
        <w:t xml:space="preserve"> </w:t>
      </w:r>
      <w:r w:rsidR="00F938AF">
        <w:t>based on five Social Prescribing projects</w:t>
      </w:r>
      <w:r w:rsidR="00F938AF">
        <w:rPr>
          <w:rStyle w:val="FootnoteReference"/>
        </w:rPr>
        <w:footnoteReference w:id="24"/>
      </w:r>
      <w:r w:rsidR="00F938AF">
        <w:t xml:space="preserve"> an </w:t>
      </w:r>
      <w:r w:rsidRPr="00A0730D">
        <w:t>estimated additional 96.56 QALYs at a cost per QALY of £</w:t>
      </w:r>
      <w:r w:rsidR="00F938AF" w:rsidRPr="00F938AF">
        <w:t>7,892.23</w:t>
      </w:r>
      <w:r w:rsidR="00F938AF" w:rsidRPr="00F938AF" w:rsidDel="00F938AF">
        <w:t xml:space="preserve"> </w:t>
      </w:r>
      <w:r>
        <w:t>(</w:t>
      </w:r>
      <w:r w:rsidRPr="00A0730D">
        <w:t>compared to the NICE threshold of £20,000</w:t>
      </w:r>
      <w:r>
        <w:t>).</w:t>
      </w:r>
      <w:r>
        <w:rPr>
          <w:rStyle w:val="FootnoteReference"/>
        </w:rPr>
        <w:footnoteReference w:id="25"/>
      </w:r>
      <w:r w:rsidRPr="00CB074E">
        <w:t xml:space="preserve"> If the estimated total QALY gained across </w:t>
      </w:r>
      <w:r w:rsidR="00A47DCB">
        <w:t>five</w:t>
      </w:r>
      <w:r w:rsidR="00A47DCB" w:rsidRPr="00CB074E">
        <w:t xml:space="preserve"> </w:t>
      </w:r>
      <w:r w:rsidRPr="00CB074E">
        <w:t>Social Prescribing projects in Essex is converted into a monetary value using the l</w:t>
      </w:r>
      <w:r>
        <w:t xml:space="preserve">ower NHS </w:t>
      </w:r>
      <w:r>
        <w:lastRenderedPageBreak/>
        <w:t>threshold of £20,000,</w:t>
      </w:r>
      <w:r w:rsidRPr="00CB074E">
        <w:t xml:space="preserve"> the value of the benefits gained amounts to £1.93 million. This mea</w:t>
      </w:r>
      <w:r>
        <w:t>ns that for every £1 of the £</w:t>
      </w:r>
      <w:r w:rsidR="00BC206D" w:rsidRPr="00BC206D">
        <w:t>762,074</w:t>
      </w:r>
      <w:r w:rsidR="000715B8">
        <w:rPr>
          <w:rStyle w:val="FootnoteReference"/>
        </w:rPr>
        <w:footnoteReference w:id="26"/>
      </w:r>
      <w:r w:rsidR="00BC206D" w:rsidRPr="00BC206D">
        <w:t xml:space="preserve"> </w:t>
      </w:r>
      <w:r w:rsidRPr="00CB074E">
        <w:t>spent supporting vulnerable people, the Social Prescribing projects produced £</w:t>
      </w:r>
      <w:r w:rsidR="007200D4">
        <w:t>2.53</w:t>
      </w:r>
      <w:r w:rsidRPr="00CB074E">
        <w:t xml:space="preserve"> of benefits in terms of better health.</w:t>
      </w:r>
    </w:p>
    <w:bookmarkEnd w:id="19"/>
    <w:p w14:paraId="37A72BEE" w14:textId="03A8638D" w:rsidR="00720CC0" w:rsidRPr="006D6D98" w:rsidRDefault="00720CC0" w:rsidP="00D53262">
      <w:pPr>
        <w:pStyle w:val="ListParagraph"/>
      </w:pPr>
      <w:r w:rsidRPr="006D6D98">
        <w:rPr>
          <w:color w:val="00B0F0"/>
        </w:rPr>
        <w:t xml:space="preserve">Return on investment </w:t>
      </w:r>
      <w:r w:rsidRPr="006D6D98">
        <w:t xml:space="preserve">– </w:t>
      </w:r>
      <w:r>
        <w:t>based on 136</w:t>
      </w:r>
      <w:r w:rsidRPr="0071155F">
        <w:t xml:space="preserve"> patients / service users and an estimated cost avoidance of </w:t>
      </w:r>
      <w:r w:rsidRPr="006D6D98">
        <w:t>£39,726; a retur</w:t>
      </w:r>
      <w:r w:rsidR="002714E7">
        <w:t>n on investment of £0.96 - £1.08</w:t>
      </w:r>
      <w:r w:rsidRPr="006D6D98">
        <w:t xml:space="preserve"> pence for every £1 invested is estimated </w:t>
      </w:r>
    </w:p>
    <w:p w14:paraId="234D0F5F" w14:textId="77777777" w:rsidR="00720CC0" w:rsidRPr="0071155F" w:rsidRDefault="00720CC0" w:rsidP="00D53262">
      <w:pPr>
        <w:pStyle w:val="ListParagraph"/>
        <w:rPr>
          <w:rFonts w:eastAsia="Times New Roman"/>
          <w:lang w:val="en-GB" w:eastAsia="en-GB"/>
        </w:rPr>
      </w:pPr>
      <w:r w:rsidRPr="004C31FA">
        <w:rPr>
          <w:color w:val="00B0F0"/>
        </w:rPr>
        <w:t xml:space="preserve">Volunteering </w:t>
      </w:r>
      <w:r w:rsidRPr="004C31FA">
        <w:t xml:space="preserve">– </w:t>
      </w:r>
      <w:r>
        <w:t>In total 195</w:t>
      </w:r>
      <w:r w:rsidRPr="00B3303A">
        <w:t xml:space="preserve"> (active) and 285 (inactive) volunteers and SPCs have been involved in the delivery of the Social Prescribing projects</w:t>
      </w:r>
      <w:r>
        <w:t xml:space="preserve">. </w:t>
      </w:r>
      <w:r w:rsidRPr="00090833">
        <w:t xml:space="preserve">The New Economy Manchester model attributes a value of £162 to someone taking up a volunteering opportunity. Based on 42 active volunteers </w:t>
      </w:r>
      <w:r>
        <w:t xml:space="preserve">(excludes SPCs) </w:t>
      </w:r>
      <w:r w:rsidRPr="00090833">
        <w:t xml:space="preserve">this amounts to a value of </w:t>
      </w:r>
      <w:r>
        <w:t>£</w:t>
      </w:r>
      <w:r w:rsidRPr="00090833">
        <w:t>6,804 contributed by volunteers</w:t>
      </w:r>
    </w:p>
    <w:p w14:paraId="5E53750B" w14:textId="77777777" w:rsidR="00720CC0" w:rsidRDefault="00720CC0" w:rsidP="00AE785D">
      <w:pPr>
        <w:pStyle w:val="BodyText-parastyle"/>
      </w:pPr>
      <w:r>
        <w:t>When scaled up to reflect all of those supported by the Social Prescribing projects (</w:t>
      </w:r>
      <w:r w:rsidRPr="00D87C37">
        <w:rPr>
          <w:b/>
        </w:rPr>
        <w:t>see methodology used in section 8.6</w:t>
      </w:r>
      <w:r>
        <w:t>) the following net and gross cost avoidance values are estimated:</w:t>
      </w:r>
    </w:p>
    <w:p w14:paraId="42BE166A" w14:textId="77777777" w:rsidR="00720CC0" w:rsidRPr="006D6D98" w:rsidRDefault="00720CC0" w:rsidP="00D53262">
      <w:pPr>
        <w:pStyle w:val="ListParagraph"/>
        <w:rPr>
          <w:rFonts w:eastAsia="Times New Roman"/>
          <w:lang w:val="en-GB" w:eastAsia="en-GB"/>
        </w:rPr>
      </w:pPr>
      <w:r w:rsidRPr="004C31FA">
        <w:rPr>
          <w:color w:val="00B0F0"/>
        </w:rPr>
        <w:t xml:space="preserve">Primary care </w:t>
      </w:r>
      <w:r w:rsidRPr="004C31FA">
        <w:t xml:space="preserve">– </w:t>
      </w:r>
      <w:r w:rsidRPr="006D6D98">
        <w:t>potential minimum cost avoidance for primary care usage for all of those supported by the Social Prescribing projects is £256,</w:t>
      </w:r>
      <w:r>
        <w:t>950 and the maximum is £747,468</w:t>
      </w:r>
    </w:p>
    <w:p w14:paraId="116EBE2C" w14:textId="77777777" w:rsidR="00720CC0" w:rsidRPr="006D6D98" w:rsidRDefault="00720CC0" w:rsidP="00D53262">
      <w:pPr>
        <w:pStyle w:val="ListParagraph"/>
        <w:rPr>
          <w:rFonts w:eastAsia="Times New Roman"/>
          <w:lang w:val="en-GB" w:eastAsia="en-GB"/>
        </w:rPr>
      </w:pPr>
      <w:r w:rsidRPr="006D6D98">
        <w:rPr>
          <w:color w:val="00B0F0"/>
        </w:rPr>
        <w:t xml:space="preserve">Secondary care </w:t>
      </w:r>
      <w:r w:rsidRPr="004C31FA">
        <w:t>–</w:t>
      </w:r>
      <w:r w:rsidRPr="006D6D98">
        <w:t xml:space="preserve"> potential minimum cost avoidance for secondary care usage for all of those supported by the Social Prescribing projects is £1,091,27</w:t>
      </w:r>
      <w:r>
        <w:t>2 and the maximum is £1,349,216</w:t>
      </w:r>
    </w:p>
    <w:p w14:paraId="60825368" w14:textId="77777777" w:rsidR="00720CC0" w:rsidRPr="009529DC" w:rsidRDefault="00720CC0" w:rsidP="00D53262">
      <w:pPr>
        <w:pStyle w:val="ListParagraph"/>
        <w:rPr>
          <w:rFonts w:eastAsia="Times New Roman"/>
          <w:lang w:val="en-GB" w:eastAsia="en-GB"/>
        </w:rPr>
      </w:pPr>
      <w:r w:rsidRPr="004C31FA">
        <w:rPr>
          <w:color w:val="00B0F0"/>
        </w:rPr>
        <w:t xml:space="preserve">Social care </w:t>
      </w:r>
      <w:r w:rsidRPr="004C31FA">
        <w:t>–</w:t>
      </w:r>
      <w:r>
        <w:t xml:space="preserve"> </w:t>
      </w:r>
      <w:r w:rsidRPr="006D6D98">
        <w:t>potential minimum cost avoidance for social care usage for all of those supported by the Social Prescribing projects is £96,708 and the maximum is £211,446.</w:t>
      </w:r>
    </w:p>
    <w:p w14:paraId="02C6AA2E" w14:textId="221A8082" w:rsidR="00720CC0" w:rsidRDefault="00C70808" w:rsidP="00AE785D">
      <w:pPr>
        <w:pStyle w:val="BodyText-parastyle"/>
      </w:pPr>
      <w:r w:rsidRPr="004C31FA">
        <w:t>Therefore,</w:t>
      </w:r>
      <w:r w:rsidR="00720CC0" w:rsidRPr="004C31FA">
        <w:t xml:space="preserve"> the findings demonstrate that the project has resulted in</w:t>
      </w:r>
      <w:r w:rsidR="00720CC0">
        <w:t xml:space="preserve"> an estimated cost avoidance for the entire programme is between </w:t>
      </w:r>
      <w:r w:rsidR="00720CC0" w:rsidRPr="0068209C">
        <w:t>£1,444,929</w:t>
      </w:r>
      <w:r w:rsidR="00720CC0">
        <w:t xml:space="preserve"> and </w:t>
      </w:r>
      <w:r w:rsidR="00720CC0" w:rsidRPr="0068209C">
        <w:t>£2,308,128</w:t>
      </w:r>
      <w:r w:rsidR="00720CC0">
        <w:t xml:space="preserve">. </w:t>
      </w:r>
    </w:p>
    <w:p w14:paraId="1A7B61AF" w14:textId="77777777" w:rsidR="00720CC0" w:rsidRPr="004C31FA"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Efficiency</w:t>
      </w:r>
    </w:p>
    <w:p w14:paraId="0A5F282F" w14:textId="723651E5" w:rsidR="00720CC0" w:rsidRDefault="00720CC0" w:rsidP="00AE785D">
      <w:pPr>
        <w:pStyle w:val="BodyText-parastyle"/>
      </w:pPr>
      <w:r w:rsidRPr="004C31FA">
        <w:t>The cost p</w:t>
      </w:r>
      <w:r>
        <w:t>er service user based on total</w:t>
      </w:r>
      <w:r w:rsidRPr="004C31FA">
        <w:t xml:space="preserve"> expenditure</w:t>
      </w:r>
      <w:r>
        <w:t xml:space="preserve"> for five projects</w:t>
      </w:r>
      <w:r w:rsidRPr="004C31FA">
        <w:rPr>
          <w:vertAlign w:val="superscript"/>
        </w:rPr>
        <w:footnoteReference w:id="27"/>
      </w:r>
      <w:r w:rsidRPr="004C31FA">
        <w:t xml:space="preserve"> (</w:t>
      </w:r>
      <w:r w:rsidRPr="005571B3">
        <w:t>£</w:t>
      </w:r>
      <w:r w:rsidR="00EE2068" w:rsidRPr="00EE2068">
        <w:t>585,114</w:t>
      </w:r>
      <w:r>
        <w:rPr>
          <w:rStyle w:val="FootnoteReference"/>
        </w:rPr>
        <w:footnoteReference w:id="28"/>
      </w:r>
      <w:r>
        <w:t xml:space="preserve">) and </w:t>
      </w:r>
      <w:r w:rsidRPr="001636F3">
        <w:t>4,807</w:t>
      </w:r>
      <w:r>
        <w:t xml:space="preserve"> </w:t>
      </w:r>
      <w:r w:rsidRPr="004C31FA">
        <w:t>people supported is £</w:t>
      </w:r>
      <w:r w:rsidR="00481A69">
        <w:t>122</w:t>
      </w:r>
      <w:r>
        <w:t>,</w:t>
      </w:r>
      <w:r w:rsidRPr="001636F3">
        <w:t xml:space="preserve"> the anticipated cost per </w:t>
      </w:r>
      <w:r>
        <w:t>service user</w:t>
      </w:r>
      <w:r w:rsidRPr="001636F3">
        <w:t xml:space="preserve"> was £</w:t>
      </w:r>
      <w:r w:rsidR="00254825">
        <w:t>2</w:t>
      </w:r>
      <w:r w:rsidR="0000104E">
        <w:t>32</w:t>
      </w:r>
      <w:r w:rsidRPr="001636F3">
        <w:t>, suggesting the project has been delivered cost effectively. However there may be other costs associated with the services that supported Social Prescribing service users that could increase the actual cost per participant.</w:t>
      </w:r>
    </w:p>
    <w:p w14:paraId="7F9540A1" w14:textId="77777777" w:rsidR="00720CC0" w:rsidRDefault="00720CC0" w:rsidP="00720CC0">
      <w:pPr>
        <w:widowControl/>
        <w:spacing w:before="0" w:after="240" w:line="240" w:lineRule="atLeast"/>
        <w:rPr>
          <w:rFonts w:eastAsia="Times New Roman"/>
          <w:sz w:val="24"/>
          <w:lang w:val="en-GB" w:eastAsia="en-GB"/>
        </w:rPr>
      </w:pPr>
      <w:r>
        <w:rPr>
          <w:rFonts w:eastAsia="Times New Roman"/>
          <w:sz w:val="24"/>
          <w:lang w:val="en-GB" w:eastAsia="en-GB"/>
        </w:rPr>
        <w:lastRenderedPageBreak/>
        <w:t>The</w:t>
      </w:r>
      <w:r w:rsidRPr="004C31FA">
        <w:rPr>
          <w:rFonts w:eastAsia="Times New Roman"/>
          <w:sz w:val="24"/>
          <w:lang w:val="en-GB" w:eastAsia="en-GB"/>
        </w:rPr>
        <w:t xml:space="preserve"> cost per service user varies significant</w:t>
      </w:r>
      <w:r>
        <w:rPr>
          <w:rFonts w:eastAsia="Times New Roman"/>
          <w:sz w:val="24"/>
          <w:lang w:val="en-GB" w:eastAsia="en-GB"/>
        </w:rPr>
        <w:t>ly</w:t>
      </w:r>
      <w:r w:rsidRPr="004C31FA">
        <w:rPr>
          <w:rFonts w:eastAsia="Times New Roman"/>
          <w:sz w:val="24"/>
          <w:lang w:val="en-GB" w:eastAsia="en-GB"/>
        </w:rPr>
        <w:t xml:space="preserve"> according to the project / model implemented and reflects the intensity of the each of the services, specifically</w:t>
      </w:r>
      <w:r>
        <w:rPr>
          <w:rFonts w:eastAsia="Times New Roman"/>
          <w:sz w:val="24"/>
          <w:lang w:val="en-GB" w:eastAsia="en-GB"/>
        </w:rPr>
        <w:t>:</w:t>
      </w:r>
    </w:p>
    <w:p w14:paraId="1BDD4B1D" w14:textId="77777777" w:rsidR="00720CC0" w:rsidRPr="00D87C37" w:rsidRDefault="00720CC0" w:rsidP="00D53262">
      <w:pPr>
        <w:pStyle w:val="ListParagraph"/>
        <w:rPr>
          <w:rStyle w:val="FootnoteReference"/>
          <w:vertAlign w:val="baseline"/>
        </w:rPr>
      </w:pPr>
      <w:r w:rsidRPr="00D87C37">
        <w:rPr>
          <w:rStyle w:val="FootnoteReference"/>
          <w:vertAlign w:val="baseline"/>
        </w:rPr>
        <w:t xml:space="preserve">those with a higher cost per service user (West Essex, Basildon and Brentwood) spent more time </w:t>
      </w:r>
      <w:r>
        <w:t xml:space="preserve">with </w:t>
      </w:r>
      <w:r w:rsidRPr="00D87C37">
        <w:rPr>
          <w:rStyle w:val="FootnoteReference"/>
          <w:vertAlign w:val="baseline"/>
        </w:rPr>
        <w:t>people on a one to one basis</w:t>
      </w:r>
      <w:r>
        <w:t xml:space="preserve">; and </w:t>
      </w:r>
    </w:p>
    <w:p w14:paraId="13975D4C" w14:textId="77777777" w:rsidR="00720CC0" w:rsidRPr="00202013" w:rsidRDefault="00720CC0" w:rsidP="00D53262">
      <w:pPr>
        <w:pStyle w:val="ListParagraph"/>
        <w:rPr>
          <w:rStyle w:val="FootnoteReference"/>
          <w:vertAlign w:val="baseline"/>
        </w:rPr>
      </w:pPr>
      <w:r w:rsidRPr="00D87C37">
        <w:rPr>
          <w:rStyle w:val="FootnoteReference"/>
          <w:vertAlign w:val="baseline"/>
        </w:rPr>
        <w:t>those with the lowest cost per service user (North East My Social Prescription and Mid Essex) involved</w:t>
      </w:r>
      <w:r w:rsidRPr="00202013">
        <w:rPr>
          <w:rStyle w:val="FootnoteReference"/>
          <w:vertAlign w:val="baseline"/>
        </w:rPr>
        <w:t xml:space="preserve"> signposting or ‘quick conversations’ that result in a direct referral there and then and no further support or time required by a Social Prescribing Navigator.</w:t>
      </w:r>
    </w:p>
    <w:p w14:paraId="30E2E435" w14:textId="77777777" w:rsidR="00720CC0" w:rsidRPr="00202013"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4C31FA">
        <w:rPr>
          <w:rFonts w:eastAsia="Times New Roman"/>
          <w:b/>
          <w:bCs/>
          <w:color w:val="009CDE"/>
          <w:sz w:val="24"/>
          <w:lang w:val="en-GB" w:eastAsia="en-GB"/>
        </w:rPr>
        <w:t xml:space="preserve">Quality </w:t>
      </w:r>
    </w:p>
    <w:p w14:paraId="0B59968E" w14:textId="77777777" w:rsidR="00720CC0" w:rsidRDefault="00720CC0" w:rsidP="00AE785D">
      <w:pPr>
        <w:pStyle w:val="BodyText-parastyle"/>
      </w:pPr>
      <w:r>
        <w:t xml:space="preserve">The evaluation has had a strong focus on collecting available evidence regarding the extent to which the projects reduced the uptake of primary, secondary or social care services. </w:t>
      </w:r>
      <w:r w:rsidRPr="004C31FA">
        <w:t xml:space="preserve">However </w:t>
      </w:r>
      <w:r>
        <w:t xml:space="preserve">the quality of the service provided is equally important to determine whether it is helping to improve users’ health and wellbeing.  </w:t>
      </w:r>
      <w:r w:rsidRPr="004C31FA">
        <w:t xml:space="preserve">For example, supporting </w:t>
      </w:r>
      <w:r>
        <w:t xml:space="preserve">someone in such a way </w:t>
      </w:r>
      <w:r w:rsidRPr="004C31FA">
        <w:t xml:space="preserve">that could prevent suicide </w:t>
      </w:r>
      <w:r>
        <w:t xml:space="preserve">is an example of support that is difficult to quantify or measure and the sensitivities around collecting information on the quality of the service provided. </w:t>
      </w:r>
    </w:p>
    <w:p w14:paraId="06F17C23" w14:textId="77777777" w:rsidR="00720CC0" w:rsidRPr="004C31FA" w:rsidRDefault="00720CC0" w:rsidP="00AE785D">
      <w:pPr>
        <w:pStyle w:val="BodyText-parastyle"/>
      </w:pPr>
      <w:r>
        <w:t xml:space="preserve">The Social Prescribing projects have been collecting feedback from service users through satisfaction surveys as well as case studies which provide more detail and evidence of how the Social Prescribing projects have helped those with more complex needs. </w:t>
      </w:r>
      <w:r w:rsidRPr="004C31FA">
        <w:t xml:space="preserve"> </w:t>
      </w:r>
    </w:p>
    <w:p w14:paraId="7934072E" w14:textId="77777777" w:rsidR="00720CC0" w:rsidRDefault="00720CC0" w:rsidP="00AE785D">
      <w:pPr>
        <w:pStyle w:val="BodyText-parastyle"/>
      </w:pPr>
      <w:r w:rsidRPr="004C31FA">
        <w:rPr>
          <w:b/>
          <w:color w:val="00B0F0"/>
        </w:rPr>
        <w:t>Recommendation:</w:t>
      </w:r>
      <w:r w:rsidRPr="004C31FA">
        <w:rPr>
          <w:color w:val="00B0F0"/>
        </w:rPr>
        <w:t xml:space="preserve"> </w:t>
      </w:r>
      <w:r w:rsidRPr="004C31FA">
        <w:t xml:space="preserve">We recommend that future projects </w:t>
      </w:r>
      <w:r>
        <w:t xml:space="preserve">continue to conduct client satisfaction surveys and </w:t>
      </w:r>
      <w:r w:rsidRPr="004C31FA">
        <w:t>collect / develop case studies to demonstrate the quality and value of the service being provided in addition to quantitative measures.</w:t>
      </w:r>
    </w:p>
    <w:p w14:paraId="5C045FF4" w14:textId="77777777" w:rsidR="00720CC0" w:rsidRPr="004C31FA" w:rsidRDefault="00720CC0" w:rsidP="00720CC0">
      <w:pPr>
        <w:widowControl/>
        <w:spacing w:before="0" w:after="240" w:line="240" w:lineRule="atLeast"/>
      </w:pPr>
      <w:r w:rsidRPr="004C31FA">
        <w:rPr>
          <w:rFonts w:eastAsia="Times New Roman"/>
          <w:b/>
          <w:color w:val="00B0F0"/>
          <w:sz w:val="24"/>
          <w:lang w:val="en-GB" w:eastAsia="en-GB"/>
        </w:rPr>
        <w:t>Recommendation:</w:t>
      </w:r>
      <w:r w:rsidRPr="004C31FA">
        <w:rPr>
          <w:rFonts w:eastAsia="Times New Roman"/>
          <w:color w:val="00B0F0"/>
          <w:sz w:val="24"/>
          <w:lang w:val="en-GB" w:eastAsia="en-GB"/>
        </w:rPr>
        <w:t xml:space="preserve"> </w:t>
      </w:r>
      <w:r w:rsidRPr="004C31FA">
        <w:rPr>
          <w:rFonts w:eastAsia="Times New Roman"/>
          <w:sz w:val="24"/>
          <w:lang w:val="en-GB" w:eastAsia="en-GB"/>
        </w:rPr>
        <w:t xml:space="preserve">We recommend that </w:t>
      </w:r>
      <w:r w:rsidRPr="00DC2F25">
        <w:rPr>
          <w:rFonts w:eastAsia="Times New Roman"/>
          <w:sz w:val="24"/>
          <w:lang w:val="en-GB" w:eastAsia="en-GB"/>
        </w:rPr>
        <w:t>w</w:t>
      </w:r>
      <w:r>
        <w:rPr>
          <w:rFonts w:eastAsia="Times New Roman"/>
          <w:sz w:val="24"/>
          <w:lang w:val="en-GB" w:eastAsia="en-GB"/>
        </w:rPr>
        <w:t>i</w:t>
      </w:r>
      <w:r w:rsidRPr="00DC2F25">
        <w:rPr>
          <w:rFonts w:eastAsia="Times New Roman"/>
          <w:sz w:val="24"/>
          <w:lang w:val="en-GB" w:eastAsia="en-GB"/>
        </w:rPr>
        <w:t>der social and health outcomes should be recorded where this is feasible and realistic.</w:t>
      </w:r>
      <w:r>
        <w:t xml:space="preserve"> </w:t>
      </w:r>
    </w:p>
    <w:p w14:paraId="2EE1F161" w14:textId="77777777" w:rsidR="00720CC0" w:rsidRPr="009529DC" w:rsidRDefault="00720CC0" w:rsidP="00720CC0">
      <w:pPr>
        <w:keepNext/>
        <w:widowControl/>
        <w:numPr>
          <w:ilvl w:val="2"/>
          <w:numId w:val="1"/>
        </w:numPr>
        <w:tabs>
          <w:tab w:val="clear" w:pos="2160"/>
          <w:tab w:val="num" w:pos="360"/>
          <w:tab w:val="num" w:pos="567"/>
        </w:tabs>
        <w:spacing w:before="240" w:after="240"/>
        <w:ind w:left="567" w:hanging="567"/>
        <w:outlineLvl w:val="2"/>
        <w:rPr>
          <w:rFonts w:eastAsia="Times New Roman"/>
          <w:b/>
          <w:bCs/>
          <w:color w:val="009CDE"/>
          <w:sz w:val="24"/>
          <w:lang w:val="en-GB" w:eastAsia="en-GB"/>
        </w:rPr>
      </w:pPr>
      <w:r w:rsidRPr="009529DC">
        <w:rPr>
          <w:rFonts w:eastAsia="Times New Roman"/>
          <w:b/>
          <w:bCs/>
          <w:color w:val="009CDE"/>
          <w:sz w:val="24"/>
          <w:lang w:val="en-GB" w:eastAsia="en-GB"/>
        </w:rPr>
        <w:t>Local infrastructure, relationships and joint working</w:t>
      </w:r>
    </w:p>
    <w:p w14:paraId="2CF5D2A2" w14:textId="77777777" w:rsidR="00720CC0" w:rsidRDefault="00720CC0" w:rsidP="00720CC0">
      <w:pPr>
        <w:widowControl/>
        <w:spacing w:before="0" w:after="240" w:line="240" w:lineRule="atLeast"/>
        <w:rPr>
          <w:rFonts w:eastAsia="Times New Roman"/>
          <w:sz w:val="24"/>
          <w:lang w:val="en-GB" w:eastAsia="en-GB"/>
        </w:rPr>
      </w:pPr>
      <w:r w:rsidRPr="004C31FA">
        <w:rPr>
          <w:rFonts w:eastAsia="Times New Roman"/>
          <w:sz w:val="24"/>
          <w:lang w:val="en-GB" w:eastAsia="en-GB"/>
        </w:rPr>
        <w:t xml:space="preserve">The Social Prescribing projects have resulted in the development of infrastructure </w:t>
      </w:r>
      <w:r>
        <w:rPr>
          <w:rFonts w:eastAsia="Times New Roman"/>
          <w:sz w:val="24"/>
          <w:lang w:val="en-GB" w:eastAsia="en-GB"/>
        </w:rPr>
        <w:t>and</w:t>
      </w:r>
      <w:r w:rsidRPr="004C31FA">
        <w:rPr>
          <w:rFonts w:eastAsia="Times New Roman"/>
          <w:sz w:val="24"/>
          <w:lang w:val="en-GB" w:eastAsia="en-GB"/>
        </w:rPr>
        <w:t xml:space="preserve"> support mechanisms, for example</w:t>
      </w:r>
      <w:r>
        <w:rPr>
          <w:rFonts w:eastAsia="Times New Roman"/>
          <w:sz w:val="24"/>
          <w:lang w:val="en-GB" w:eastAsia="en-GB"/>
        </w:rPr>
        <w:t>:</w:t>
      </w:r>
    </w:p>
    <w:p w14:paraId="6D9E53C3" w14:textId="77777777" w:rsidR="00720CC0" w:rsidRDefault="00720CC0" w:rsidP="00AE785D">
      <w:pPr>
        <w:pStyle w:val="BodyText-parastyle"/>
      </w:pPr>
      <w:r w:rsidRPr="00966A86">
        <w:rPr>
          <w:b/>
        </w:rPr>
        <w:t>Links to other support mechanisms</w:t>
      </w:r>
      <w:r>
        <w:t xml:space="preserve"> – t</w:t>
      </w:r>
      <w:r w:rsidRPr="00966A86">
        <w:t xml:space="preserve">he Social Prescribing projects have </w:t>
      </w:r>
      <w:r>
        <w:t xml:space="preserve">established relationships and worked with other professionals to promote the projects and increase referrals, for example by attending </w:t>
      </w:r>
      <w:r w:rsidRPr="00B205EC">
        <w:t>locality hub MDT meetings</w:t>
      </w:r>
      <w:r>
        <w:t xml:space="preserve">. In addition they have participated in a number of wider forums / groups to promote learning from the pilot projects, including participation in the National Social Prescribing Network as well as the </w:t>
      </w:r>
      <w:r w:rsidRPr="00966A86">
        <w:t xml:space="preserve">Essex Social Prescribing Network </w:t>
      </w:r>
      <w:r>
        <w:t>and</w:t>
      </w:r>
      <w:r w:rsidRPr="00966A86">
        <w:t xml:space="preserve"> the Regional Social Prescribing Forum.</w:t>
      </w:r>
    </w:p>
    <w:p w14:paraId="6E00418B" w14:textId="77777777" w:rsidR="00720CC0" w:rsidRDefault="00720CC0" w:rsidP="00AE785D">
      <w:pPr>
        <w:pStyle w:val="BodyText-parastyle"/>
      </w:pPr>
      <w:r w:rsidRPr="00966A86">
        <w:rPr>
          <w:b/>
        </w:rPr>
        <w:t>VCS infrastructure</w:t>
      </w:r>
      <w:r>
        <w:t xml:space="preserve"> – the Social Prescribing projects have </w:t>
      </w:r>
      <w:r w:rsidRPr="00966A86">
        <w:t>been supported by a number of VCS organisations that service users were referred to</w:t>
      </w:r>
      <w:r>
        <w:t xml:space="preserve">. These have included </w:t>
      </w:r>
      <w:r w:rsidRPr="00966A86">
        <w:t xml:space="preserve">a broad range of services and organisations </w:t>
      </w:r>
      <w:r>
        <w:t>from</w:t>
      </w:r>
      <w:r w:rsidRPr="00966A86">
        <w:t xml:space="preserve"> both </w:t>
      </w:r>
      <w:r>
        <w:t xml:space="preserve">the </w:t>
      </w:r>
      <w:r w:rsidRPr="00966A86">
        <w:t xml:space="preserve">public </w:t>
      </w:r>
      <w:r>
        <w:t>and</w:t>
      </w:r>
      <w:r w:rsidRPr="00966A86">
        <w:t xml:space="preserve"> third sector. </w:t>
      </w:r>
    </w:p>
    <w:p w14:paraId="1ADF6C4E" w14:textId="77777777" w:rsidR="00720CC0" w:rsidRDefault="00720CC0" w:rsidP="00AE785D">
      <w:pPr>
        <w:pStyle w:val="BodyText-parastyle"/>
      </w:pPr>
      <w:r w:rsidRPr="00966A86">
        <w:rPr>
          <w:b/>
        </w:rPr>
        <w:lastRenderedPageBreak/>
        <w:t>Wider infrastructure</w:t>
      </w:r>
      <w:r>
        <w:t xml:space="preserve"> – the Social Prescribing projects have worked with and helped to develop community capacity / local assets. Specific examples include:</w:t>
      </w:r>
    </w:p>
    <w:p w14:paraId="084ABB17" w14:textId="77777777" w:rsidR="00720CC0" w:rsidRPr="00BE5122" w:rsidRDefault="00720CC0" w:rsidP="00D53262">
      <w:pPr>
        <w:pStyle w:val="ListParagraph"/>
        <w:rPr>
          <w:rFonts w:eastAsia="Times New Roman"/>
          <w:lang w:val="en-GB" w:eastAsia="en-GB"/>
        </w:rPr>
      </w:pPr>
      <w:r w:rsidRPr="00BE5122">
        <w:t xml:space="preserve">Colchester Borough Council </w:t>
      </w:r>
      <w:r>
        <w:t xml:space="preserve">/ library - </w:t>
      </w:r>
      <w:r w:rsidRPr="00BE5122">
        <w:t>My Social Prescription staff have served as steering group committee members and attended workshops to design new look services at Colchester Library, including sharing lessons from the My Social Prescription project.  Since August 2015 project staff have facilitated attendance of community projects (including My Social Prescription staff and volunteers, as well as partner voluntary groups) for two mornings a week and provided additional volunteers for one-off events (i.e. New Year, New You and Go Online sessions). The project has also jointly trained hub staff (in excess of 30 people) on My Social Prescription in order to promote referrals into the project</w:t>
      </w:r>
      <w:r>
        <w:t>.</w:t>
      </w:r>
      <w:r w:rsidRPr="00BE5122">
        <w:t xml:space="preserve">  </w:t>
      </w:r>
    </w:p>
    <w:p w14:paraId="35F81129" w14:textId="77777777" w:rsidR="00720CC0" w:rsidRPr="00BE5122" w:rsidRDefault="00720CC0" w:rsidP="00D53262">
      <w:pPr>
        <w:pStyle w:val="ListParagraph"/>
        <w:rPr>
          <w:rFonts w:eastAsia="Times New Roman"/>
          <w:lang w:val="en-GB" w:eastAsia="en-GB"/>
        </w:rPr>
      </w:pPr>
      <w:r>
        <w:t xml:space="preserve">Social workers – My Social Prescription </w:t>
      </w:r>
      <w:r w:rsidRPr="00BE5122">
        <w:t>host</w:t>
      </w:r>
      <w:r>
        <w:t xml:space="preserve">ed </w:t>
      </w:r>
      <w:r w:rsidRPr="00BE5122">
        <w:t xml:space="preserve">Social Care development days/meetings with local social workers that has changed the way in which social workers relate to the voluntary sector, improved their knowledge and created stronger relationships </w:t>
      </w:r>
      <w:r>
        <w:t>which</w:t>
      </w:r>
      <w:r w:rsidRPr="00BE5122">
        <w:t xml:space="preserve"> is reflected in the high number of referrals to the pr</w:t>
      </w:r>
      <w:r>
        <w:t xml:space="preserve">oject from social care staff.  </w:t>
      </w:r>
      <w:r w:rsidRPr="00BE5122">
        <w:t xml:space="preserve">When new social workers join the team, they now visit with a social prescriber, learn about the </w:t>
      </w:r>
      <w:r>
        <w:t>VCS</w:t>
      </w:r>
      <w:r w:rsidRPr="00BE5122">
        <w:t xml:space="preserve"> and how they can refer into the project. </w:t>
      </w:r>
    </w:p>
    <w:p w14:paraId="08B72764" w14:textId="77777777" w:rsidR="00720CC0" w:rsidRPr="00BE5122" w:rsidRDefault="00720CC0" w:rsidP="00D53262">
      <w:pPr>
        <w:pStyle w:val="ListParagraph"/>
        <w:rPr>
          <w:rFonts w:eastAsia="Times New Roman"/>
          <w:lang w:val="en-GB" w:eastAsia="en-GB"/>
        </w:rPr>
      </w:pPr>
      <w:r>
        <w:t xml:space="preserve">Connect Well – the online </w:t>
      </w:r>
      <w:r w:rsidRPr="00BE5122">
        <w:t xml:space="preserve">Connect </w:t>
      </w:r>
      <w:r>
        <w:t>W</w:t>
      </w:r>
      <w:r w:rsidRPr="00BE5122">
        <w:t xml:space="preserve">ell </w:t>
      </w:r>
      <w:r>
        <w:t xml:space="preserve">referral system </w:t>
      </w:r>
      <w:r w:rsidRPr="00BE5122">
        <w:t xml:space="preserve">was implemented as part of the </w:t>
      </w:r>
      <w:r>
        <w:t>S</w:t>
      </w:r>
      <w:r w:rsidRPr="00BE5122">
        <w:t xml:space="preserve">ocial </w:t>
      </w:r>
      <w:r>
        <w:t>P</w:t>
      </w:r>
      <w:r w:rsidRPr="00BE5122">
        <w:t xml:space="preserve">rescribing project  </w:t>
      </w:r>
    </w:p>
    <w:p w14:paraId="756EE477" w14:textId="77777777" w:rsidR="00720CC0" w:rsidRDefault="00720CC0" w:rsidP="00AE785D">
      <w:pPr>
        <w:pStyle w:val="BodyText-parastyle"/>
      </w:pPr>
      <w:r w:rsidRPr="00BE5122">
        <w:rPr>
          <w:b/>
        </w:rPr>
        <w:t>Training of volunteers / Champions</w:t>
      </w:r>
      <w:r>
        <w:t xml:space="preserve"> – all of the Social Prescribing projects have used volunteers to support delivery and</w:t>
      </w:r>
      <w:r w:rsidRPr="00634ECB">
        <w:t xml:space="preserve"> 424 Connect Well Champions were trained in Social Prescribing, ABCD, Connect Well and Making Every Contact Count durin</w:t>
      </w:r>
      <w:r>
        <w:t xml:space="preserve">g February 2016 – 31 March 2017.  </w:t>
      </w:r>
    </w:p>
    <w:p w14:paraId="3A3FB1D3" w14:textId="5BB79BCC" w:rsidR="00720CC0" w:rsidRDefault="00720CC0" w:rsidP="00AE785D">
      <w:pPr>
        <w:pStyle w:val="BodyText-parastyle"/>
      </w:pPr>
      <w:r>
        <w:t xml:space="preserve">The interim report identified the </w:t>
      </w:r>
      <w:r w:rsidRPr="00D1004D">
        <w:t xml:space="preserve">need to build on the existing shared learning across the </w:t>
      </w:r>
      <w:r>
        <w:t>provider organisations</w:t>
      </w:r>
      <w:r w:rsidRPr="00D1004D">
        <w:t xml:space="preserve"> in order to ensure the outcomes delivered can be maximised</w:t>
      </w:r>
      <w:r>
        <w:t xml:space="preserve">. Thereafter </w:t>
      </w:r>
      <w:r w:rsidR="000C6A59">
        <w:t>ECC increased</w:t>
      </w:r>
      <w:r w:rsidR="006F70B1">
        <w:t xml:space="preserve"> </w:t>
      </w:r>
      <w:r>
        <w:t xml:space="preserve">plans to </w:t>
      </w:r>
      <w:r w:rsidR="006F70B1">
        <w:t>s</w:t>
      </w:r>
      <w:r>
        <w:t xml:space="preserve">hare learning </w:t>
      </w:r>
      <w:r w:rsidRPr="00D1004D">
        <w:t>base</w:t>
      </w:r>
      <w:r>
        <w:t xml:space="preserve">d on the interim report, including </w:t>
      </w:r>
      <w:r w:rsidRPr="00D87C37">
        <w:t xml:space="preserve">a </w:t>
      </w:r>
      <w:r>
        <w:t>w</w:t>
      </w:r>
      <w:r w:rsidRPr="00D87C37">
        <w:t>orkshop which agreed key prin</w:t>
      </w:r>
      <w:r>
        <w:t>ciples and direction of travel for an Essex wide</w:t>
      </w:r>
      <w:r w:rsidR="006F70B1">
        <w:t xml:space="preserve"> Community Support Network</w:t>
      </w:r>
      <w:r>
        <w:t xml:space="preserve"> that </w:t>
      </w:r>
      <w:r w:rsidR="008F33A7">
        <w:t xml:space="preserve">will </w:t>
      </w:r>
      <w:r w:rsidR="006F70B1">
        <w:t xml:space="preserve">align several similar </w:t>
      </w:r>
      <w:r w:rsidR="008F33A7">
        <w:t xml:space="preserve">commissioned </w:t>
      </w:r>
      <w:r w:rsidR="006F70B1">
        <w:t>services</w:t>
      </w:r>
      <w:r w:rsidR="008F33A7">
        <w:t>. This</w:t>
      </w:r>
      <w:r w:rsidR="000C6A59">
        <w:t xml:space="preserve"> </w:t>
      </w:r>
      <w:r w:rsidRPr="00D1004D">
        <w:t>Network</w:t>
      </w:r>
      <w:r>
        <w:t xml:space="preserve"> will be </w:t>
      </w:r>
      <w:r w:rsidRPr="00D1004D">
        <w:t>reconstitut</w:t>
      </w:r>
      <w:r w:rsidR="00EB129D">
        <w:t>ed</w:t>
      </w:r>
      <w:r w:rsidRPr="00D1004D">
        <w:t xml:space="preserve"> to share good practice</w:t>
      </w:r>
      <w:r>
        <w:t xml:space="preserve"> and successful outcomes. </w:t>
      </w:r>
    </w:p>
    <w:p w14:paraId="3895CA96" w14:textId="1AD08EAA" w:rsidR="00720CC0" w:rsidRPr="004C31FA" w:rsidRDefault="00720CC0" w:rsidP="00AE785D">
      <w:pPr>
        <w:pStyle w:val="BodyText-parastyle"/>
      </w:pPr>
      <w:r w:rsidRPr="004C31FA">
        <w:rPr>
          <w:b/>
          <w:color w:val="00B0F0"/>
        </w:rPr>
        <w:t>Recommendation:</w:t>
      </w:r>
      <w:r w:rsidRPr="004C31FA">
        <w:rPr>
          <w:color w:val="00B0F0"/>
        </w:rPr>
        <w:t xml:space="preserve"> </w:t>
      </w:r>
      <w:r w:rsidRPr="004C31FA">
        <w:t>W</w:t>
      </w:r>
      <w:r>
        <w:t xml:space="preserve">e welcome the work planned to increase shared learning and suggest that the plan of work is monitored quarterly, including feedback from those </w:t>
      </w:r>
      <w:r w:rsidR="000C6A59">
        <w:t>involved</w:t>
      </w:r>
      <w:r>
        <w:t xml:space="preserve"> to ensure the activities are delivering.  </w:t>
      </w:r>
    </w:p>
    <w:p w14:paraId="6589BBA6" w14:textId="77777777" w:rsidR="00720CC0" w:rsidRPr="004C31FA" w:rsidRDefault="00720CC0" w:rsidP="00D465F1">
      <w:pPr>
        <w:pStyle w:val="Heading3"/>
      </w:pPr>
      <w:r>
        <w:t xml:space="preserve">Summary- </w:t>
      </w:r>
      <w:r w:rsidRPr="004C31FA">
        <w:t>Key Model Components</w:t>
      </w:r>
    </w:p>
    <w:p w14:paraId="6FF0C35E" w14:textId="77777777" w:rsidR="00720CC0" w:rsidRPr="004C31FA" w:rsidRDefault="00720CC0" w:rsidP="00AE785D">
      <w:pPr>
        <w:pStyle w:val="BodyText-parastyle"/>
      </w:pPr>
      <w:r w:rsidRPr="004C31FA">
        <w:t>Based on the evidence presented in this report indicative key criteria for successful and effective Social Prescribing model</w:t>
      </w:r>
      <w:r>
        <w:t>s</w:t>
      </w:r>
      <w:r w:rsidRPr="004C31FA">
        <w:t xml:space="preserve"> are:</w:t>
      </w:r>
    </w:p>
    <w:p w14:paraId="0283D4DA" w14:textId="30F6CA3E" w:rsidR="00720CC0" w:rsidRPr="004C31FA" w:rsidRDefault="00720CC0" w:rsidP="00D53262">
      <w:pPr>
        <w:pStyle w:val="ListParagraph"/>
      </w:pPr>
      <w:r>
        <w:rPr>
          <w:color w:val="00B0F0"/>
        </w:rPr>
        <w:t xml:space="preserve">Simple and easy referral process – </w:t>
      </w:r>
      <w:r w:rsidRPr="00401C03">
        <w:t xml:space="preserve">processes </w:t>
      </w:r>
      <w:r w:rsidRPr="004C31FA">
        <w:t>that can work for a number of diffe</w:t>
      </w:r>
      <w:r>
        <w:t>rent referral sources and avoid</w:t>
      </w:r>
      <w:r w:rsidRPr="004C31FA">
        <w:t xml:space="preserve"> too much time being required / invested by those making the </w:t>
      </w:r>
      <w:r w:rsidRPr="004C31FA">
        <w:lastRenderedPageBreak/>
        <w:t>referral</w:t>
      </w:r>
      <w:r>
        <w:t xml:space="preserve">.  For </w:t>
      </w:r>
      <w:r w:rsidR="00C70808">
        <w:t>example,</w:t>
      </w:r>
      <w:r>
        <w:t xml:space="preserve"> for GPs if the referral process is incorporated into their own systems such as SystmOne they are more likely to implement.  </w:t>
      </w:r>
    </w:p>
    <w:p w14:paraId="168971A9" w14:textId="77777777" w:rsidR="00720CC0" w:rsidRPr="004C31FA" w:rsidRDefault="00720CC0" w:rsidP="00D53262">
      <w:pPr>
        <w:pStyle w:val="ListParagraph"/>
      </w:pPr>
      <w:r w:rsidRPr="004C31FA">
        <w:rPr>
          <w:color w:val="00B0F0"/>
        </w:rPr>
        <w:t>Promotion of the service</w:t>
      </w:r>
      <w:r>
        <w:rPr>
          <w:color w:val="00B0F0"/>
        </w:rPr>
        <w:t xml:space="preserve"> and its benefits</w:t>
      </w:r>
      <w:r w:rsidRPr="004C31FA">
        <w:rPr>
          <w:color w:val="00B0F0"/>
        </w:rPr>
        <w:t xml:space="preserve"> amongst GPs</w:t>
      </w:r>
      <w:r>
        <w:rPr>
          <w:color w:val="00B0F0"/>
        </w:rPr>
        <w:t xml:space="preserve"> - </w:t>
      </w:r>
      <w:r w:rsidRPr="00401C03">
        <w:t xml:space="preserve">GP buy in is essential and processes/ resources need to be in place to ensure GPs are aware and </w:t>
      </w:r>
      <w:r>
        <w:t>updated on</w:t>
      </w:r>
      <w:r w:rsidRPr="00401C03">
        <w:t xml:space="preserve"> how Social Prescribing can</w:t>
      </w:r>
      <w:r>
        <w:t xml:space="preserve"> support their practice / work. </w:t>
      </w:r>
      <w:r w:rsidRPr="00401C03">
        <w:t xml:space="preserve">The CCGs are best placed to support this effort in the first instance.  </w:t>
      </w:r>
      <w:r w:rsidRPr="004C31FA">
        <w:t xml:space="preserve"> </w:t>
      </w:r>
    </w:p>
    <w:p w14:paraId="31DA184B" w14:textId="77777777" w:rsidR="00720CC0" w:rsidRPr="004C31FA" w:rsidRDefault="00720CC0" w:rsidP="00D53262">
      <w:pPr>
        <w:pStyle w:val="ListParagraph"/>
      </w:pPr>
      <w:r>
        <w:rPr>
          <w:color w:val="00B0F0"/>
        </w:rPr>
        <w:t xml:space="preserve">Output and outcome indicators </w:t>
      </w:r>
      <w:r w:rsidRPr="004C31FA">
        <w:rPr>
          <w:color w:val="00B0F0"/>
        </w:rPr>
        <w:t>set are SMART, reflect the target group</w:t>
      </w:r>
      <w:r>
        <w:rPr>
          <w:color w:val="00B0F0"/>
        </w:rPr>
        <w:t xml:space="preserve">, </w:t>
      </w:r>
      <w:r w:rsidRPr="004C31FA">
        <w:rPr>
          <w:color w:val="00B0F0"/>
        </w:rPr>
        <w:t>and are robustly monitored on a regular basis</w:t>
      </w:r>
      <w:r w:rsidRPr="00401C03">
        <w:rPr>
          <w:color w:val="00B0F0"/>
        </w:rPr>
        <w:t xml:space="preserve"> -</w:t>
      </w:r>
      <w:r>
        <w:t xml:space="preserve"> there should be consistency between funders on project indicators/ targets and monitoring reports showing progress against these should be sent to funders on a regular basis.  </w:t>
      </w:r>
    </w:p>
    <w:p w14:paraId="16E2D30F" w14:textId="77777777" w:rsidR="00720CC0" w:rsidRPr="004C31FA" w:rsidRDefault="00720CC0" w:rsidP="00D53262">
      <w:pPr>
        <w:pStyle w:val="ListParagraph"/>
      </w:pPr>
      <w:r w:rsidRPr="004C31FA">
        <w:rPr>
          <w:color w:val="00B0F0"/>
        </w:rPr>
        <w:t>Use of existing infrastructure / local assets to support delivery</w:t>
      </w:r>
      <w:r>
        <w:rPr>
          <w:color w:val="00B0F0"/>
        </w:rPr>
        <w:t xml:space="preserve"> - </w:t>
      </w:r>
      <w:r>
        <w:t>a</w:t>
      </w:r>
      <w:r w:rsidRPr="00401C03">
        <w:t>ll areas have local assets and it is important that the S</w:t>
      </w:r>
      <w:r>
        <w:t xml:space="preserve">ocial </w:t>
      </w:r>
      <w:r w:rsidRPr="00401C03">
        <w:t>P</w:t>
      </w:r>
      <w:r>
        <w:t>rescribing</w:t>
      </w:r>
      <w:r w:rsidRPr="00401C03">
        <w:t xml:space="preserve"> providers </w:t>
      </w:r>
      <w:r>
        <w:t>are linked into these and utilis</w:t>
      </w:r>
      <w:r w:rsidRPr="00401C03">
        <w:t>ing them where a</w:t>
      </w:r>
      <w:r>
        <w:t xml:space="preserve">ppropriate to support delivery. </w:t>
      </w:r>
      <w:r w:rsidRPr="00401C03">
        <w:t xml:space="preserve">The development and maintenance of relationship(s) </w:t>
      </w:r>
      <w:r w:rsidRPr="004C31FA">
        <w:t xml:space="preserve">with other voluntary organisations, outreach and referral agencies </w:t>
      </w:r>
      <w:r>
        <w:t>are all essential to success.</w:t>
      </w:r>
      <w:r w:rsidRPr="00401C03">
        <w:t xml:space="preserve"> Volunteers</w:t>
      </w:r>
      <w:r w:rsidRPr="004C31FA">
        <w:t xml:space="preserve"> can be</w:t>
      </w:r>
      <w:r>
        <w:t xml:space="preserve"> </w:t>
      </w:r>
      <w:r w:rsidRPr="004C31FA">
        <w:t>used to support the project</w:t>
      </w:r>
      <w:r>
        <w:t>,</w:t>
      </w:r>
      <w:r w:rsidRPr="004C31FA">
        <w:t xml:space="preserve"> however delivery should not be dependent on their recruitment and continued support</w:t>
      </w:r>
      <w:r>
        <w:t xml:space="preserve">, </w:t>
      </w:r>
      <w:r w:rsidRPr="004C31FA">
        <w:t>which cannot be guaranteed and can affect the success of project</w:t>
      </w:r>
      <w:r>
        <w:t>.</w:t>
      </w:r>
    </w:p>
    <w:p w14:paraId="16C7A9D0" w14:textId="77777777" w:rsidR="00720CC0" w:rsidRPr="004C31FA" w:rsidRDefault="00720CC0" w:rsidP="00D53262">
      <w:pPr>
        <w:pStyle w:val="ListParagraph"/>
        <w:rPr>
          <w:color w:val="00B0F0"/>
        </w:rPr>
      </w:pPr>
      <w:r w:rsidRPr="004C31FA">
        <w:rPr>
          <w:color w:val="00B0F0"/>
        </w:rPr>
        <w:t>Flexibility to adapt to processes and delivery to meet locality demands / needs</w:t>
      </w:r>
      <w:r>
        <w:rPr>
          <w:color w:val="00B0F0"/>
        </w:rPr>
        <w:t xml:space="preserve"> </w:t>
      </w:r>
      <w:r w:rsidRPr="00401C03">
        <w:t xml:space="preserve">- </w:t>
      </w:r>
      <w:r>
        <w:t>l</w:t>
      </w:r>
      <w:r w:rsidRPr="00401C03">
        <w:t>ocal situations change and providers need to be able to adapt t</w:t>
      </w:r>
      <w:r>
        <w:t>heir delivery models whilst stay</w:t>
      </w:r>
      <w:r w:rsidRPr="00401C03">
        <w:t>ing focused on the outcomes required</w:t>
      </w:r>
      <w:r>
        <w:t>.</w:t>
      </w:r>
      <w:r w:rsidRPr="00401C03">
        <w:t xml:space="preserve"> </w:t>
      </w:r>
    </w:p>
    <w:p w14:paraId="04CA4F5B" w14:textId="77777777" w:rsidR="00720CC0" w:rsidRPr="004C31FA" w:rsidRDefault="00720CC0" w:rsidP="00AE785D">
      <w:pPr>
        <w:pStyle w:val="BodyText-parastyle"/>
      </w:pPr>
      <w:r w:rsidRPr="004C31FA">
        <w:t>Any future Social Prescribing model must reflect local needs, context and existing resources and services at an area level.</w:t>
      </w:r>
    </w:p>
    <w:p w14:paraId="605311C6" w14:textId="77777777" w:rsidR="00720CC0" w:rsidRDefault="00720CC0" w:rsidP="00720CC0"/>
    <w:p w14:paraId="6DDDD037" w14:textId="77777777" w:rsidR="00720CC0" w:rsidRDefault="00720CC0" w:rsidP="00AE785D">
      <w:pPr>
        <w:pStyle w:val="BodyText-parastyle"/>
      </w:pPr>
    </w:p>
    <w:p w14:paraId="738F4657" w14:textId="77777777" w:rsidR="00EB7145" w:rsidRDefault="00EB7145" w:rsidP="00AE785D">
      <w:pPr>
        <w:pStyle w:val="BodyText-parastyle"/>
      </w:pPr>
    </w:p>
    <w:p w14:paraId="5A8A5B55" w14:textId="77777777" w:rsidR="00CD1667" w:rsidRDefault="00071448" w:rsidP="00BD70F6">
      <w:pPr>
        <w:pStyle w:val="Heading1"/>
      </w:pPr>
      <w:bookmarkStart w:id="20" w:name="_Toc497934257"/>
      <w:r>
        <w:lastRenderedPageBreak/>
        <w:t xml:space="preserve">Background and Evalulation </w:t>
      </w:r>
      <w:r w:rsidR="00CD1667">
        <w:t>Terms</w:t>
      </w:r>
      <w:r w:rsidR="00BD70F6">
        <w:t xml:space="preserve"> </w:t>
      </w:r>
      <w:r w:rsidR="00CD1667">
        <w:t>of Reference</w:t>
      </w:r>
      <w:bookmarkEnd w:id="20"/>
      <w:r w:rsidR="00CD1667">
        <w:t xml:space="preserve"> </w:t>
      </w:r>
    </w:p>
    <w:p w14:paraId="08DEC318" w14:textId="77777777" w:rsidR="00CD1667" w:rsidRDefault="00CD1667" w:rsidP="00CD1667">
      <w:pPr>
        <w:pStyle w:val="Heading2"/>
        <w:numPr>
          <w:ilvl w:val="1"/>
          <w:numId w:val="1"/>
        </w:numPr>
        <w:tabs>
          <w:tab w:val="clear" w:pos="3349"/>
          <w:tab w:val="num" w:pos="567"/>
        </w:tabs>
        <w:ind w:left="567" w:hanging="567"/>
      </w:pPr>
      <w:bookmarkStart w:id="21" w:name="_Toc482282281"/>
      <w:bookmarkStart w:id="22" w:name="_Toc497934258"/>
      <w:r>
        <w:t>Introduction</w:t>
      </w:r>
      <w:bookmarkEnd w:id="21"/>
      <w:bookmarkEnd w:id="22"/>
      <w:r>
        <w:t xml:space="preserve"> </w:t>
      </w:r>
    </w:p>
    <w:p w14:paraId="64EF22D1" w14:textId="77777777" w:rsidR="005466D0" w:rsidRDefault="00CD1667" w:rsidP="00AE785D">
      <w:pPr>
        <w:pStyle w:val="BodyText-parastyle"/>
      </w:pPr>
      <w:r w:rsidRPr="00E006E1">
        <w:t xml:space="preserve">In </w:t>
      </w:r>
      <w:r>
        <w:t>April 2016</w:t>
      </w:r>
      <w:r w:rsidRPr="00E006E1">
        <w:t xml:space="preserve"> </w:t>
      </w:r>
      <w:r w:rsidR="008E1FAD">
        <w:t xml:space="preserve">RSM </w:t>
      </w:r>
      <w:r w:rsidRPr="00E006E1">
        <w:t xml:space="preserve">PACEC was commissioned by </w:t>
      </w:r>
      <w:r>
        <w:t>Essex County Council</w:t>
      </w:r>
      <w:r w:rsidRPr="00E006E1">
        <w:t xml:space="preserve"> (</w:t>
      </w:r>
      <w:r>
        <w:t>ECC</w:t>
      </w:r>
      <w:r w:rsidRPr="00E006E1">
        <w:t xml:space="preserve">) to undertake an evaluation of </w:t>
      </w:r>
      <w:r w:rsidR="00DD3740">
        <w:t xml:space="preserve">six </w:t>
      </w:r>
      <w:r>
        <w:t>Social Prescribing Models across Essex</w:t>
      </w:r>
      <w:r w:rsidR="00DD3740">
        <w:t xml:space="preserve">. This report </w:t>
      </w:r>
      <w:r w:rsidR="008A38A6">
        <w:t>evaluates the different models implemented, their performance, so</w:t>
      </w:r>
      <w:r w:rsidR="00F72860">
        <w:t>cio-</w:t>
      </w:r>
      <w:r w:rsidR="008A38A6">
        <w:t xml:space="preserve">economic impact and incorporates perspectives from key stakeholders. </w:t>
      </w:r>
    </w:p>
    <w:p w14:paraId="4517A77C" w14:textId="77777777" w:rsidR="003E1B81" w:rsidRDefault="003E1B81" w:rsidP="003E1B81">
      <w:pPr>
        <w:pStyle w:val="Heading2"/>
      </w:pPr>
      <w:bookmarkStart w:id="23" w:name="_Toc497934259"/>
      <w:r>
        <w:t>What is Social Prescribing</w:t>
      </w:r>
      <w:bookmarkEnd w:id="23"/>
      <w:r>
        <w:t xml:space="preserve"> </w:t>
      </w:r>
    </w:p>
    <w:p w14:paraId="378107AE" w14:textId="77777777" w:rsidR="007F11D5" w:rsidRDefault="00AC7D4F" w:rsidP="00AE785D">
      <w:pPr>
        <w:pStyle w:val="BodyText-parastyle"/>
      </w:pPr>
      <w:r>
        <w:t xml:space="preserve">Social </w:t>
      </w:r>
      <w:r w:rsidR="007F11D5">
        <w:t>P</w:t>
      </w:r>
      <w:r>
        <w:t xml:space="preserve">rescribing </w:t>
      </w:r>
      <w:r w:rsidR="007F11D5">
        <w:t xml:space="preserve">is an overarching term for a project or programme that links </w:t>
      </w:r>
      <w:r>
        <w:t>patients with non-clinical treatment (social or physical) within their community. Referrals can be made from a range of sources including GPs, primary care professionals and others (e.g. self-referrals or referrals from police or social services) depending on the model</w:t>
      </w:r>
      <w:r w:rsidR="007F11D5">
        <w:t xml:space="preserve"> being implemented</w:t>
      </w:r>
      <w:r>
        <w:t xml:space="preserve">. </w:t>
      </w:r>
      <w:r w:rsidR="007F11D5">
        <w:t>It aims to reduce the demand on health services, improve community wellbeing and reduce social isolation.</w:t>
      </w:r>
      <w:r w:rsidR="007F11D5">
        <w:rPr>
          <w:rStyle w:val="FootnoteReference"/>
        </w:rPr>
        <w:footnoteReference w:id="29"/>
      </w:r>
    </w:p>
    <w:p w14:paraId="44628129" w14:textId="77777777" w:rsidR="002E564C" w:rsidRDefault="002E564C" w:rsidP="00AE785D">
      <w:pPr>
        <w:pStyle w:val="BodyText-parastyle"/>
      </w:pPr>
      <w:r>
        <w:t>Most Social Prescribing models are based in a healthcare setting where referrals are primarily made by healthcare staff or where a link worker or navigator is based in a primary care setting. However there is an alternative model that is based in a community setting and where referrals are made from the wider system and can involve training staff within organisations to be ‘Social Prescribing Champions’ (SPCs) and make referrals.</w:t>
      </w:r>
    </w:p>
    <w:p w14:paraId="4CD4F3AC" w14:textId="77777777" w:rsidR="00E23731" w:rsidRDefault="002A4AD4" w:rsidP="00AE785D">
      <w:pPr>
        <w:pStyle w:val="BodyText-parastyle"/>
      </w:pPr>
      <w:r>
        <w:t xml:space="preserve">The differing approaches implemented across Essex are detailed in </w:t>
      </w:r>
      <w:r w:rsidRPr="00916843">
        <w:t>section 4.2</w:t>
      </w:r>
      <w:r>
        <w:t>.</w:t>
      </w:r>
    </w:p>
    <w:p w14:paraId="2094F3EA" w14:textId="77777777" w:rsidR="002319B1" w:rsidRDefault="007F11D5" w:rsidP="00AE785D">
      <w:pPr>
        <w:pStyle w:val="BodyText-parastyle"/>
      </w:pPr>
      <w:r>
        <w:t xml:space="preserve">Social Prescribing has been developed in </w:t>
      </w:r>
      <w:r w:rsidRPr="007F11D5">
        <w:t xml:space="preserve">a policy environment which places greater emphasis on integrated </w:t>
      </w:r>
      <w:r w:rsidR="00204715">
        <w:t xml:space="preserve">and </w:t>
      </w:r>
      <w:r w:rsidRPr="007F11D5">
        <w:t>preven</w:t>
      </w:r>
      <w:r w:rsidR="00204715">
        <w:t>tative healthcare interventions that can reduce pressure on health services</w:t>
      </w:r>
      <w:r w:rsidR="002319B1">
        <w:t xml:space="preserve">. Most recently, the </w:t>
      </w:r>
      <w:r w:rsidR="002319B1" w:rsidRPr="002319B1">
        <w:t>NHS</w:t>
      </w:r>
      <w:r w:rsidR="002319B1">
        <w:t xml:space="preserve"> five year forward view (2014) highlight</w:t>
      </w:r>
      <w:r w:rsidR="005567E9">
        <w:t>ed</w:t>
      </w:r>
      <w:r w:rsidR="002319B1">
        <w:t xml:space="preserve"> the need for a greater focus on prevention and wellbeing,</w:t>
      </w:r>
      <w:r w:rsidR="002319B1" w:rsidRPr="002319B1">
        <w:t xml:space="preserve"> patient-centred care, and better integration of services, as well as the role of the third sector in delivering services that promote wellbeing</w:t>
      </w:r>
      <w:r w:rsidR="002319B1">
        <w:t xml:space="preserve">. The </w:t>
      </w:r>
      <w:r w:rsidR="002319B1" w:rsidRPr="002319B1">
        <w:t xml:space="preserve">General </w:t>
      </w:r>
      <w:r w:rsidR="002313C7">
        <w:t>P</w:t>
      </w:r>
      <w:r w:rsidR="002319B1" w:rsidRPr="002319B1">
        <w:t xml:space="preserve">ractice </w:t>
      </w:r>
      <w:r w:rsidR="00630870">
        <w:t>Forward V</w:t>
      </w:r>
      <w:r w:rsidR="002319B1" w:rsidRPr="002319B1">
        <w:t>iew (2016)</w:t>
      </w:r>
      <w:r w:rsidR="002319B1">
        <w:t xml:space="preserve"> </w:t>
      </w:r>
      <w:r w:rsidR="00204715">
        <w:t>also highlight</w:t>
      </w:r>
      <w:r w:rsidR="005567E9">
        <w:t>ed</w:t>
      </w:r>
      <w:r w:rsidR="00204715">
        <w:t xml:space="preserve"> the role of </w:t>
      </w:r>
      <w:r w:rsidR="002319B1">
        <w:t xml:space="preserve">Social Prescribing in developing </w:t>
      </w:r>
      <w:r w:rsidR="005567E9">
        <w:t>better</w:t>
      </w:r>
      <w:r w:rsidR="002319B1">
        <w:t xml:space="preserve"> integration across the wider health and care system</w:t>
      </w:r>
      <w:r w:rsidR="00204715">
        <w:t>,</w:t>
      </w:r>
      <w:r w:rsidR="002319B1">
        <w:t xml:space="preserve"> noting that</w:t>
      </w:r>
      <w:r w:rsidR="00204715">
        <w:t xml:space="preserve"> v</w:t>
      </w:r>
      <w:r w:rsidR="002319B1">
        <w:t xml:space="preserve">oluntary sector organisations can </w:t>
      </w:r>
      <w:r w:rsidR="00204715">
        <w:t>‘</w:t>
      </w:r>
      <w:r w:rsidR="002319B1">
        <w:t xml:space="preserve">play an important role in supporting the work of general practice. For example, local models of </w:t>
      </w:r>
      <w:r w:rsidR="00204715">
        <w:t xml:space="preserve">Social Prescribing </w:t>
      </w:r>
      <w:r w:rsidR="002319B1">
        <w:t>can enable GPs to access practical, community-based support for their patients, including access to advice on employment, housing an</w:t>
      </w:r>
      <w:r w:rsidR="00204715">
        <w:t xml:space="preserve">d debt’. </w:t>
      </w:r>
      <w:r w:rsidR="002319B1">
        <w:t>It also state</w:t>
      </w:r>
      <w:r w:rsidR="005567E9">
        <w:t>d</w:t>
      </w:r>
      <w:r w:rsidR="002319B1">
        <w:t xml:space="preserve"> that Social Prescribing is ‘a key measure by which patients can benefit from wider support’</w:t>
      </w:r>
      <w:r w:rsidR="00204715">
        <w:t xml:space="preserve">. </w:t>
      </w:r>
    </w:p>
    <w:p w14:paraId="0D5E171A" w14:textId="77777777" w:rsidR="00BB663F" w:rsidRDefault="00BB663F" w:rsidP="00BB663F">
      <w:pPr>
        <w:pStyle w:val="Heading2"/>
      </w:pPr>
      <w:bookmarkStart w:id="24" w:name="_Toc497934260"/>
      <w:r>
        <w:lastRenderedPageBreak/>
        <w:t>Evidence base for Social Prescribing</w:t>
      </w:r>
      <w:bookmarkEnd w:id="24"/>
      <w:r>
        <w:t xml:space="preserve"> </w:t>
      </w:r>
    </w:p>
    <w:p w14:paraId="6DA8F1AC" w14:textId="77777777" w:rsidR="00BB663F" w:rsidRDefault="00BB663F" w:rsidP="00AE785D">
      <w:pPr>
        <w:pStyle w:val="BodyText-parastyle"/>
      </w:pPr>
      <w:r>
        <w:t>A report by the Social Prescribing Network</w:t>
      </w:r>
      <w:r>
        <w:rPr>
          <w:rStyle w:val="FootnoteReference"/>
        </w:rPr>
        <w:footnoteReference w:id="30"/>
      </w:r>
      <w:r>
        <w:t xml:space="preserve"> states approximately 20% of patients consult their GP for primarily social problems, while other research </w:t>
      </w:r>
      <w:r w:rsidR="005567E9">
        <w:t xml:space="preserve">has </w:t>
      </w:r>
      <w:r>
        <w:t xml:space="preserve">highlighted that </w:t>
      </w:r>
      <w:r w:rsidR="00701B6D">
        <w:t>40</w:t>
      </w:r>
      <w:r>
        <w:t xml:space="preserve">% of health outcomes are attributable to socioeconomic </w:t>
      </w:r>
      <w:r w:rsidR="00701B6D">
        <w:t>factors</w:t>
      </w:r>
      <w:r>
        <w:rPr>
          <w:rStyle w:val="FootnoteReference"/>
        </w:rPr>
        <w:footnoteReference w:id="31"/>
      </w:r>
      <w:r>
        <w:t xml:space="preserve">, </w:t>
      </w:r>
      <w:r w:rsidR="00701B6D">
        <w:t>highlighting</w:t>
      </w:r>
      <w:r>
        <w:t xml:space="preserve"> the need for patients to access non-clinical resources to enable them to improve their health and wellbeing. </w:t>
      </w:r>
    </w:p>
    <w:p w14:paraId="054C3A4A" w14:textId="77777777" w:rsidR="00204715" w:rsidRDefault="00204715" w:rsidP="00AE785D">
      <w:pPr>
        <w:pStyle w:val="BodyText-parastyle"/>
      </w:pPr>
      <w:r>
        <w:t xml:space="preserve">While there have been several Social Prescribing schemes </w:t>
      </w:r>
      <w:r w:rsidR="00701B6D">
        <w:t xml:space="preserve">operating over a number of years </w:t>
      </w:r>
      <w:r>
        <w:t>(for example the Bromley by Bow Centre Social Prescribing project was established in 1984) and there are currently more than 100 schemes running in the UK</w:t>
      </w:r>
      <w:r>
        <w:rPr>
          <w:rStyle w:val="FootnoteReference"/>
        </w:rPr>
        <w:footnoteReference w:id="32"/>
      </w:r>
      <w:r>
        <w:t xml:space="preserve">, </w:t>
      </w:r>
      <w:r w:rsidR="003E1B81">
        <w:t>the e</w:t>
      </w:r>
      <w:r>
        <w:t xml:space="preserve">vidence base is still emergent. However there is evidence to suggest that </w:t>
      </w:r>
      <w:r w:rsidR="003E1B81">
        <w:t xml:space="preserve">Social Prescribing </w:t>
      </w:r>
      <w:r>
        <w:t>will be</w:t>
      </w:r>
      <w:r w:rsidR="003E1B81">
        <w:t xml:space="preserve"> particularly beneficial for certain types of patients and service users. </w:t>
      </w:r>
    </w:p>
    <w:p w14:paraId="5864E473" w14:textId="77777777" w:rsidR="003E1B81" w:rsidRDefault="003E1B81" w:rsidP="00AE785D">
      <w:pPr>
        <w:pStyle w:val="BodyText-parastyle"/>
      </w:pPr>
      <w:r>
        <w:t>A NESTA report</w:t>
      </w:r>
      <w:r>
        <w:rPr>
          <w:rStyle w:val="FootnoteReference"/>
        </w:rPr>
        <w:footnoteReference w:id="33"/>
      </w:r>
      <w:r>
        <w:t xml:space="preserve"> on </w:t>
      </w:r>
      <w:r w:rsidRPr="001D2373">
        <w:t>services for people powered health</w:t>
      </w:r>
      <w:r>
        <w:rPr>
          <w:rStyle w:val="FootnoteReference"/>
        </w:rPr>
        <w:footnoteReference w:id="34"/>
      </w:r>
      <w:r>
        <w:t xml:space="preserve"> states GPs in Social Prescribing pilots were most likely to refer patients with one or more of the following characteristics: </w:t>
      </w:r>
    </w:p>
    <w:p w14:paraId="319CF921" w14:textId="77777777" w:rsidR="003E1B81" w:rsidRDefault="003E1B81" w:rsidP="00D53262">
      <w:pPr>
        <w:pStyle w:val="ListParagraph"/>
      </w:pPr>
      <w:r>
        <w:t>a history of mental health problems;</w:t>
      </w:r>
    </w:p>
    <w:p w14:paraId="6E0E294C" w14:textId="77777777" w:rsidR="003E1B81" w:rsidRDefault="003E1B81" w:rsidP="00D53262">
      <w:pPr>
        <w:pStyle w:val="ListParagraph"/>
      </w:pPr>
      <w:r>
        <w:t>frequent attenders of GP clinics;</w:t>
      </w:r>
    </w:p>
    <w:p w14:paraId="30533F4C" w14:textId="77777777" w:rsidR="003E1B81" w:rsidRDefault="003E1B81" w:rsidP="00D53262">
      <w:pPr>
        <w:pStyle w:val="ListParagraph"/>
      </w:pPr>
      <w:r>
        <w:t>two or more long-term conditions;</w:t>
      </w:r>
    </w:p>
    <w:p w14:paraId="04B015AA" w14:textId="77777777" w:rsidR="003E1B81" w:rsidRDefault="003E1B81" w:rsidP="00D53262">
      <w:pPr>
        <w:pStyle w:val="ListParagraph"/>
      </w:pPr>
      <w:r>
        <w:t>socially isolated;</w:t>
      </w:r>
    </w:p>
    <w:p w14:paraId="723BC012" w14:textId="77777777" w:rsidR="003E1B81" w:rsidRDefault="003E1B81" w:rsidP="00D53262">
      <w:pPr>
        <w:pStyle w:val="ListParagraph"/>
      </w:pPr>
      <w:r>
        <w:t>untreatable or poorly understood long-term conditions such as irritable bowel syndrome and chronic fatigue syndrome; and</w:t>
      </w:r>
    </w:p>
    <w:p w14:paraId="79445DE8" w14:textId="77777777" w:rsidR="005013BE" w:rsidRDefault="003E1B81" w:rsidP="00D53262">
      <w:pPr>
        <w:pStyle w:val="ListParagraph"/>
      </w:pPr>
      <w:r>
        <w:t xml:space="preserve">not benefiting from clinical medicine and drug treatment. </w:t>
      </w:r>
    </w:p>
    <w:p w14:paraId="4ED398B9" w14:textId="77777777" w:rsidR="005013BE" w:rsidRDefault="005013BE" w:rsidP="00AE785D">
      <w:pPr>
        <w:pStyle w:val="BodyText-parastyle"/>
      </w:pPr>
      <w:r>
        <w:t>However recent research</w:t>
      </w:r>
      <w:r>
        <w:rPr>
          <w:rStyle w:val="FootnoteReference"/>
        </w:rPr>
        <w:footnoteReference w:id="35"/>
      </w:r>
      <w:r>
        <w:t xml:space="preserve"> notes that there </w:t>
      </w:r>
      <w:r w:rsidR="00701B6D">
        <w:t>remain</w:t>
      </w:r>
      <w:r>
        <w:t xml:space="preserve"> barriers to en</w:t>
      </w:r>
      <w:r w:rsidR="00E23731">
        <w:t>gagement, particularly from GP</w:t>
      </w:r>
      <w:r w:rsidR="00701B6D">
        <w:t>s</w:t>
      </w:r>
      <w:r w:rsidR="00E23731">
        <w:t xml:space="preserve"> who </w:t>
      </w:r>
      <w:r w:rsidR="00701B6D">
        <w:t>are</w:t>
      </w:r>
      <w:r w:rsidR="00E23731">
        <w:t xml:space="preserve"> cautious of the quality and sustainability of the services being provided, </w:t>
      </w:r>
      <w:r>
        <w:t xml:space="preserve">noting that ‘despite 90% of GPs saying their patients would benefit from social prescribing, and four out of five believing it is something they should have access to, just 16% said they regularly used social prescribing.’ </w:t>
      </w:r>
    </w:p>
    <w:p w14:paraId="2696CC66" w14:textId="77777777" w:rsidR="00E23731" w:rsidRDefault="00E23731" w:rsidP="00AE785D">
      <w:pPr>
        <w:pStyle w:val="BodyText-parastyle"/>
      </w:pPr>
      <w:r>
        <w:t>For those that are referred and supported by Social Prescribing interventions, t</w:t>
      </w:r>
      <w:r w:rsidR="003E1B81">
        <w:t>he NESTA report</w:t>
      </w:r>
      <w:r>
        <w:rPr>
          <w:rStyle w:val="FootnoteReference"/>
        </w:rPr>
        <w:footnoteReference w:id="36"/>
      </w:r>
      <w:r w:rsidR="003E1B81">
        <w:t xml:space="preserve"> </w:t>
      </w:r>
      <w:r w:rsidR="00BB663F">
        <w:t xml:space="preserve">states there </w:t>
      </w:r>
      <w:r>
        <w:t xml:space="preserve">is evidence Social Prescribing </w:t>
      </w:r>
      <w:r w:rsidR="003E1B81" w:rsidRPr="006103C6">
        <w:t>increases people’s confidence, provides opportunities to build social networks, increases self-efficacy and can increase people’s engagement with weight loss and exercise programmes.</w:t>
      </w:r>
      <w:r>
        <w:t xml:space="preserve"> </w:t>
      </w:r>
      <w:r w:rsidR="00701B6D">
        <w:t xml:space="preserve">The type of outcomes that can be </w:t>
      </w:r>
      <w:r w:rsidR="00701B6D">
        <w:lastRenderedPageBreak/>
        <w:t>achieved are also evident in the</w:t>
      </w:r>
      <w:r w:rsidR="00BB663F">
        <w:t xml:space="preserve"> Rotherham Social Prescribing pilot </w:t>
      </w:r>
      <w:r w:rsidR="00701B6D">
        <w:t>evaluation</w:t>
      </w:r>
      <w:r w:rsidR="00701B6D">
        <w:rPr>
          <w:rStyle w:val="FootnoteReference"/>
        </w:rPr>
        <w:footnoteReference w:id="37"/>
      </w:r>
      <w:r w:rsidR="00701B6D">
        <w:t xml:space="preserve"> which </w:t>
      </w:r>
      <w:r w:rsidR="00BB663F">
        <w:t>found that</w:t>
      </w:r>
      <w:r w:rsidR="008C0433">
        <w:t xml:space="preserve"> </w:t>
      </w:r>
      <w:r w:rsidR="00BB663F">
        <w:t>af</w:t>
      </w:r>
      <w:r w:rsidR="00701B6D">
        <w:t>ter 3-4 months</w:t>
      </w:r>
      <w:r w:rsidR="00BB663F">
        <w:t xml:space="preserve"> 83% of patients had experienced positive change in at least one outcome area</w:t>
      </w:r>
      <w:r w:rsidR="008C0433">
        <w:t xml:space="preserve"> relating to wellbeing</w:t>
      </w:r>
      <w:r w:rsidR="008C0433">
        <w:rPr>
          <w:rStyle w:val="FootnoteReference"/>
        </w:rPr>
        <w:footnoteReference w:id="38"/>
      </w:r>
      <w:r w:rsidR="008C0433">
        <w:t xml:space="preserve"> and </w:t>
      </w:r>
      <w:r w:rsidR="00701B6D">
        <w:t xml:space="preserve">it was </w:t>
      </w:r>
      <w:r w:rsidR="008C0433">
        <w:t>estimated that the social value of the wellbeing benefits experienced by service users equate</w:t>
      </w:r>
      <w:r w:rsidR="00701B6D">
        <w:t>d</w:t>
      </w:r>
      <w:r w:rsidR="008C0433">
        <w:t xml:space="preserve"> to up to £432,000</w:t>
      </w:r>
      <w:r w:rsidR="00701B6D">
        <w:t>,</w:t>
      </w:r>
      <w:r w:rsidR="008C0433">
        <w:t xml:space="preserve"> a social return on investment (SROI) of £2.19 for every £1 invested in the pilot. The evaluation of the Rotherham Social Prescribing pilot also reported that there were reductions in patients’ use of hospital services, including reductions of up to a fifth in the number of outpatient stays, accident and emergency attendances and outpatient appointments. The return on investment</w:t>
      </w:r>
      <w:r w:rsidR="00A9450E">
        <w:t xml:space="preserve"> (ROI)</w:t>
      </w:r>
      <w:r w:rsidR="008C0433">
        <w:t xml:space="preserve"> for the NHS was 50 pence for </w:t>
      </w:r>
      <w:r>
        <w:t xml:space="preserve">each pound invested. </w:t>
      </w:r>
    </w:p>
    <w:p w14:paraId="022C1AB5" w14:textId="77777777" w:rsidR="003E1B81" w:rsidRDefault="008C0433" w:rsidP="00AE785D">
      <w:pPr>
        <w:pStyle w:val="BodyText-parastyle"/>
      </w:pPr>
      <w:r>
        <w:t>However other r</w:t>
      </w:r>
      <w:r w:rsidR="003E1B81">
        <w:t>esearch</w:t>
      </w:r>
      <w:r w:rsidR="00701B6D">
        <w:t xml:space="preserve"> has</w:t>
      </w:r>
      <w:r w:rsidR="003E1B81">
        <w:t xml:space="preserve"> suggest</w:t>
      </w:r>
      <w:r w:rsidR="00701B6D">
        <w:t>ed</w:t>
      </w:r>
      <w:r w:rsidR="003E1B81">
        <w:t xml:space="preserve"> that t</w:t>
      </w:r>
      <w:r w:rsidR="003E1B81" w:rsidRPr="009379E9">
        <w:t xml:space="preserve">he benefits of </w:t>
      </w:r>
      <w:r w:rsidR="003E1B81">
        <w:t>Social Prescribing</w:t>
      </w:r>
      <w:r w:rsidR="003E1B81" w:rsidRPr="009379E9">
        <w:t xml:space="preserve"> may take around 18 months to 2 years to accumulate. </w:t>
      </w:r>
      <w:r w:rsidR="00701B6D">
        <w:t>F</w:t>
      </w:r>
      <w:r w:rsidR="00701B6D" w:rsidRPr="00701B6D">
        <w:t>or example</w:t>
      </w:r>
      <w:r w:rsidR="00701B6D">
        <w:t>,</w:t>
      </w:r>
      <w:r w:rsidR="00701B6D" w:rsidRPr="00701B6D">
        <w:t xml:space="preserve"> </w:t>
      </w:r>
      <w:r w:rsidR="00701B6D">
        <w:t>a</w:t>
      </w:r>
      <w:r>
        <w:t>n e</w:t>
      </w:r>
      <w:r w:rsidR="003E1B81" w:rsidRPr="009379E9">
        <w:t>valuation of the Expert Patient</w:t>
      </w:r>
      <w:r w:rsidR="008207BA">
        <w:t>s</w:t>
      </w:r>
      <w:r w:rsidR="003E1B81" w:rsidRPr="009379E9">
        <w:t xml:space="preserve"> Programme (EPP</w:t>
      </w:r>
      <w:r w:rsidR="00701B6D">
        <w:t>)</w:t>
      </w:r>
      <w:r w:rsidR="003E1B81">
        <w:rPr>
          <w:rStyle w:val="FootnoteReference"/>
        </w:rPr>
        <w:footnoteReference w:id="39"/>
      </w:r>
      <w:r w:rsidR="00701B6D">
        <w:t xml:space="preserve"> showed that in the short-term</w:t>
      </w:r>
      <w:r w:rsidR="003E1B81" w:rsidRPr="009379E9">
        <w:t xml:space="preserve"> EPP patients did not consult less, but they did show improvement on quality-of-life measures, increased energy and </w:t>
      </w:r>
      <w:r w:rsidR="003E1B81">
        <w:t>self-</w:t>
      </w:r>
      <w:r w:rsidR="003E1B81" w:rsidRPr="009379E9">
        <w:t xml:space="preserve">efficacy. Habits of seeking help from the NHS do not change quickly. It is not surprising therefore, that cost-effectiveness studies over the short-to medium term do not </w:t>
      </w:r>
      <w:r w:rsidR="00701B6D">
        <w:t xml:space="preserve">always </w:t>
      </w:r>
      <w:r w:rsidR="003E1B81" w:rsidRPr="009379E9">
        <w:t>show NHS savings and commissioners should be prepared for this</w:t>
      </w:r>
      <w:r w:rsidR="003E1B81">
        <w:t>.</w:t>
      </w:r>
      <w:r w:rsidR="003E1B81">
        <w:rPr>
          <w:rStyle w:val="FootnoteReference"/>
        </w:rPr>
        <w:footnoteReference w:id="40"/>
      </w:r>
    </w:p>
    <w:p w14:paraId="71094753" w14:textId="77777777" w:rsidR="009363A2" w:rsidRDefault="009363A2" w:rsidP="009363A2">
      <w:pPr>
        <w:pStyle w:val="Heading2"/>
      </w:pPr>
      <w:bookmarkStart w:id="25" w:name="_Toc497934261"/>
      <w:r>
        <w:t>Background to Essex County Council Social Prescribing</w:t>
      </w:r>
      <w:bookmarkEnd w:id="25"/>
      <w:r>
        <w:t xml:space="preserve"> </w:t>
      </w:r>
    </w:p>
    <w:p w14:paraId="386B3366" w14:textId="363820DA" w:rsidR="000C6A59" w:rsidRDefault="000C6A59" w:rsidP="00AE785D">
      <w:pPr>
        <w:pStyle w:val="BodyText-parastyle"/>
      </w:pPr>
      <w:r>
        <w:t xml:space="preserve">A business case was approved in 2015 by the Transformation Challenge Programme Board for funding of </w:t>
      </w:r>
      <w:r w:rsidRPr="00BA7C77">
        <w:t>£1</w:t>
      </w:r>
      <w:r>
        <w:t>,310,000</w:t>
      </w:r>
      <w:r>
        <w:rPr>
          <w:rStyle w:val="FootnoteReference"/>
        </w:rPr>
        <w:footnoteReference w:id="41"/>
      </w:r>
      <w:r>
        <w:t xml:space="preserve"> for the period 2015/16 – 2016/17 to operate pilot Social Prescribing services across the area. However not all of the funding in the business case was received due to savings required in public health funding and some partners did not contribute the funding originally anticipated. The total income/ funding provided during 2015/16 – 2016/17 was </w:t>
      </w:r>
      <w:r w:rsidR="0000104E" w:rsidRPr="0000104E">
        <w:t>£1,190,942</w:t>
      </w:r>
      <w:r>
        <w:t>.</w:t>
      </w:r>
      <w:r>
        <w:rPr>
          <w:rStyle w:val="FootnoteReference"/>
        </w:rPr>
        <w:footnoteReference w:id="42"/>
      </w:r>
    </w:p>
    <w:p w14:paraId="039FAF11" w14:textId="77777777" w:rsidR="000C6A59" w:rsidRDefault="000C6A59" w:rsidP="00AE785D">
      <w:pPr>
        <w:pStyle w:val="BodyText-parastyle"/>
      </w:pPr>
      <w:r>
        <w:lastRenderedPageBreak/>
        <w:t xml:space="preserve">Funding was made available from the </w:t>
      </w:r>
      <w:r w:rsidRPr="00BA5F58">
        <w:t xml:space="preserve">Transformation Challenge Award </w:t>
      </w:r>
      <w:r>
        <w:t>(</w:t>
      </w:r>
      <w:r w:rsidRPr="00BA5F58">
        <w:t>TCA</w:t>
      </w:r>
      <w:r>
        <w:t>)</w:t>
      </w:r>
      <w:r>
        <w:rPr>
          <w:rStyle w:val="FootnoteReference"/>
        </w:rPr>
        <w:footnoteReference w:id="43"/>
      </w:r>
      <w:r w:rsidRPr="00BA5F58">
        <w:t xml:space="preserve"> and Public Health funds</w:t>
      </w:r>
      <w:r>
        <w:t>.  In addition, funding was committed by various statutory partners including two Clinical Commissioning Groups (CCGs)</w:t>
      </w:r>
      <w:r>
        <w:rPr>
          <w:rStyle w:val="FootnoteReference"/>
        </w:rPr>
        <w:footnoteReference w:id="44"/>
      </w:r>
      <w:r>
        <w:t xml:space="preserve">, </w:t>
      </w:r>
      <w:r w:rsidRPr="00BA5F58">
        <w:t>Office of the Police and Crime Commissioner</w:t>
      </w:r>
      <w:r>
        <w:t xml:space="preserve"> (OPCC) and one local authority.</w:t>
      </w:r>
      <w:r>
        <w:rPr>
          <w:rStyle w:val="FootnoteReference"/>
        </w:rPr>
        <w:footnoteReference w:id="45"/>
      </w:r>
      <w:r>
        <w:t xml:space="preserve"> </w:t>
      </w:r>
    </w:p>
    <w:p w14:paraId="7CE0CB98" w14:textId="77777777" w:rsidR="009363A2" w:rsidRDefault="009363A2" w:rsidP="00AE785D">
      <w:pPr>
        <w:pStyle w:val="BodyText-parastyle"/>
      </w:pPr>
      <w:r>
        <w:t>The overarching objectives for the Social Prescribing services (as stated in the business case) were to</w:t>
      </w:r>
      <w:r>
        <w:rPr>
          <w:rStyle w:val="FootnoteReference"/>
        </w:rPr>
        <w:footnoteReference w:id="46"/>
      </w:r>
      <w:r>
        <w:t>:</w:t>
      </w:r>
    </w:p>
    <w:p w14:paraId="56EF8585" w14:textId="77777777" w:rsidR="009363A2" w:rsidRDefault="009363A2" w:rsidP="00D53262">
      <w:pPr>
        <w:pStyle w:val="ListParagraph"/>
      </w:pPr>
      <w:r>
        <w:t>improve the health and wellbeing of individuals through early intervention and reduce the dependency on public sector services;</w:t>
      </w:r>
    </w:p>
    <w:p w14:paraId="3DE23089" w14:textId="77777777" w:rsidR="009363A2" w:rsidRDefault="009363A2" w:rsidP="00D53262">
      <w:pPr>
        <w:pStyle w:val="ListParagraph"/>
      </w:pPr>
      <w:r>
        <w:t>increase the role and capability of the voluntary and community sector</w:t>
      </w:r>
      <w:r w:rsidR="008207BA">
        <w:t xml:space="preserve"> </w:t>
      </w:r>
      <w:r w:rsidR="00C24471">
        <w:t>(VCS)</w:t>
      </w:r>
      <w:r>
        <w:t xml:space="preserve"> in providing support for an individual’s needs and in mobilising communities to support care needs; and</w:t>
      </w:r>
    </w:p>
    <w:p w14:paraId="296CBCDB" w14:textId="77777777" w:rsidR="009363A2" w:rsidRDefault="009363A2" w:rsidP="00D53262">
      <w:pPr>
        <w:pStyle w:val="ListParagraph"/>
      </w:pPr>
      <w:r>
        <w:t xml:space="preserve">build a more integrated approach between health and social care and its engagement with the </w:t>
      </w:r>
      <w:r w:rsidR="00C24471">
        <w:t>VCS</w:t>
      </w:r>
      <w:r>
        <w:t>.</w:t>
      </w:r>
    </w:p>
    <w:p w14:paraId="4B95E32B" w14:textId="77777777" w:rsidR="009363A2" w:rsidRDefault="009363A2" w:rsidP="00AE785D">
      <w:pPr>
        <w:pStyle w:val="BodyText-parastyle"/>
      </w:pPr>
      <w:r>
        <w:t>In addition, the business case defined success measures for the programme as:</w:t>
      </w:r>
    </w:p>
    <w:p w14:paraId="5038B8A5" w14:textId="77777777" w:rsidR="009363A2" w:rsidRDefault="009363A2" w:rsidP="00D53262">
      <w:pPr>
        <w:pStyle w:val="ListParagraph"/>
      </w:pPr>
      <w:r>
        <w:t xml:space="preserve">Improved </w:t>
      </w:r>
      <w:r w:rsidR="00BF324A">
        <w:t xml:space="preserve">health and wellbeing </w:t>
      </w:r>
      <w:r>
        <w:t xml:space="preserve">of users; </w:t>
      </w:r>
    </w:p>
    <w:p w14:paraId="2B106B7B" w14:textId="77777777" w:rsidR="009363A2" w:rsidRDefault="009363A2" w:rsidP="00D53262">
      <w:pPr>
        <w:pStyle w:val="ListParagraph"/>
      </w:pPr>
      <w:r>
        <w:t xml:space="preserve">Demand on the </w:t>
      </w:r>
      <w:r w:rsidR="00BF324A">
        <w:t xml:space="preserve">public sector would </w:t>
      </w:r>
      <w:r>
        <w:t>be reduced, particularly across health and social care services; and</w:t>
      </w:r>
    </w:p>
    <w:p w14:paraId="2FF829D9" w14:textId="77777777" w:rsidR="009363A2" w:rsidRDefault="009363A2" w:rsidP="00D53262">
      <w:pPr>
        <w:pStyle w:val="ListParagraph"/>
      </w:pPr>
      <w:r>
        <w:t>Social Prescribing would be embedded within GP Surgeries across Essex.</w:t>
      </w:r>
    </w:p>
    <w:p w14:paraId="5E6A2D57" w14:textId="77777777" w:rsidR="009363A2" w:rsidRDefault="009363A2" w:rsidP="00AE785D">
      <w:pPr>
        <w:pStyle w:val="BodyText-parastyle"/>
      </w:pPr>
      <w:r>
        <w:t>It also detailed the expected non-fiscal benefits:</w:t>
      </w:r>
    </w:p>
    <w:p w14:paraId="2A5A55B2" w14:textId="77777777" w:rsidR="009363A2" w:rsidRDefault="009363A2" w:rsidP="00D53262">
      <w:pPr>
        <w:pStyle w:val="ListParagraph"/>
      </w:pPr>
      <w:r>
        <w:t>Increased efficiency and effectiveness within GP surgeries: time is released for GPs to spend on the most pressing cases;</w:t>
      </w:r>
    </w:p>
    <w:p w14:paraId="66966780" w14:textId="77777777" w:rsidR="009363A2" w:rsidRDefault="009363A2" w:rsidP="00D53262">
      <w:pPr>
        <w:pStyle w:val="ListParagraph"/>
      </w:pPr>
      <w:r>
        <w:t xml:space="preserve">Broader range of community activities and self-care options;  </w:t>
      </w:r>
    </w:p>
    <w:p w14:paraId="330D9189" w14:textId="77777777" w:rsidR="009363A2" w:rsidRDefault="009363A2" w:rsidP="00D53262">
      <w:pPr>
        <w:pStyle w:val="ListParagraph"/>
      </w:pPr>
      <w:r>
        <w:t>Increased level of patient wellbeing and happiness;</w:t>
      </w:r>
    </w:p>
    <w:p w14:paraId="2A950E29" w14:textId="77777777" w:rsidR="009363A2" w:rsidRDefault="009363A2" w:rsidP="00D53262">
      <w:pPr>
        <w:pStyle w:val="ListParagraph"/>
      </w:pPr>
      <w:r>
        <w:t>Increased number of patients go on to regularly volunteer;</w:t>
      </w:r>
    </w:p>
    <w:p w14:paraId="334D091F" w14:textId="77777777" w:rsidR="009363A2" w:rsidRDefault="009363A2" w:rsidP="00D53262">
      <w:pPr>
        <w:pStyle w:val="ListParagraph"/>
      </w:pPr>
      <w:r>
        <w:t>Increased number of social interactions building stronger social networks; and</w:t>
      </w:r>
    </w:p>
    <w:p w14:paraId="2D63B604" w14:textId="77777777" w:rsidR="009363A2" w:rsidRDefault="009363A2" w:rsidP="00D53262">
      <w:pPr>
        <w:pStyle w:val="ListParagraph"/>
      </w:pPr>
      <w:r>
        <w:t xml:space="preserve">Improved systems between health and community sectors facilitating better communication and improved workforce and working culture. </w:t>
      </w:r>
    </w:p>
    <w:p w14:paraId="7E188A05" w14:textId="77777777" w:rsidR="00EE788C" w:rsidRDefault="00EE788C" w:rsidP="00AE785D">
      <w:pPr>
        <w:pStyle w:val="BodyText-parastyle"/>
      </w:pPr>
    </w:p>
    <w:p w14:paraId="0E73E073" w14:textId="77777777" w:rsidR="00EE788C" w:rsidRDefault="00EE788C" w:rsidP="00AE785D">
      <w:pPr>
        <w:pStyle w:val="BodyText-parastyle"/>
      </w:pPr>
    </w:p>
    <w:p w14:paraId="654A836E" w14:textId="77777777" w:rsidR="009363A2" w:rsidRDefault="009363A2" w:rsidP="00AE785D">
      <w:pPr>
        <w:pStyle w:val="BodyText-parastyle"/>
      </w:pPr>
      <w:r>
        <w:lastRenderedPageBreak/>
        <w:t xml:space="preserve">In addition Partnership Agreements </w:t>
      </w:r>
      <w:r w:rsidR="00630870">
        <w:t>were signed with the CCGs</w:t>
      </w:r>
      <w:r>
        <w:t xml:space="preserve"> which stated the following characteristics should be present in social prescribing projects across all CCG areas:</w:t>
      </w:r>
    </w:p>
    <w:p w14:paraId="76A0F3D7" w14:textId="77777777" w:rsidR="009363A2" w:rsidRDefault="009363A2" w:rsidP="00D53262">
      <w:pPr>
        <w:pStyle w:val="ListParagraph"/>
      </w:pPr>
      <w:r>
        <w:t xml:space="preserve">A close operational level relationship with GP practices(s) and social care staff </w:t>
      </w:r>
      <w:r w:rsidR="00630870">
        <w:t>to identify appropriate clients;</w:t>
      </w:r>
    </w:p>
    <w:p w14:paraId="17B779FE" w14:textId="77777777" w:rsidR="009363A2" w:rsidRDefault="009363A2" w:rsidP="00D53262">
      <w:pPr>
        <w:pStyle w:val="ListParagraph"/>
      </w:pPr>
      <w:r>
        <w:t>Clear client targeting and recruitment and selection procedures</w:t>
      </w:r>
      <w:r w:rsidR="00630870">
        <w:t>;</w:t>
      </w:r>
      <w:r>
        <w:t xml:space="preserve"> </w:t>
      </w:r>
    </w:p>
    <w:p w14:paraId="74CFB48D" w14:textId="77777777" w:rsidR="009363A2" w:rsidRDefault="009363A2" w:rsidP="00D53262">
      <w:pPr>
        <w:pStyle w:val="ListParagraph"/>
      </w:pPr>
      <w:r>
        <w:t>A clearly defined pathway clarifying who is responsible for what activities by organisati</w:t>
      </w:r>
      <w:r w:rsidR="00630870">
        <w:t>on at each stage of the pathway;</w:t>
      </w:r>
    </w:p>
    <w:p w14:paraId="5F4E76AA" w14:textId="77777777" w:rsidR="009363A2" w:rsidRDefault="009363A2" w:rsidP="00D53262">
      <w:pPr>
        <w:pStyle w:val="ListParagraph"/>
      </w:pPr>
      <w:r>
        <w:t>Individual tailoring of interventions to support clients’ unique needs based on a personal understanding of the individual and a strong personal yet professional relationship, ensuring that professional boundar</w:t>
      </w:r>
      <w:r w:rsidR="00630870">
        <w:t>ies are maintained at all times;</w:t>
      </w:r>
    </w:p>
    <w:p w14:paraId="602B31E5" w14:textId="77777777" w:rsidR="009363A2" w:rsidRDefault="009363A2" w:rsidP="00D53262">
      <w:pPr>
        <w:pStyle w:val="ListParagraph"/>
      </w:pPr>
      <w:r>
        <w:t xml:space="preserve">Recognising the needs of carers. Where the referred patient is a carer, or has a carer, ensuring that personal goals are drawn up either individually for the carer and the cared for or together depending </w:t>
      </w:r>
      <w:r w:rsidR="00630870">
        <w:t>on the needs of the individuals;</w:t>
      </w:r>
    </w:p>
    <w:p w14:paraId="74260BBC" w14:textId="77777777" w:rsidR="009363A2" w:rsidRDefault="009363A2" w:rsidP="00D53262">
      <w:pPr>
        <w:pStyle w:val="ListParagraph"/>
      </w:pPr>
      <w:r>
        <w:t>Work with the individual to identify the most appropriate resources available within the community and voluntary sector in order for these goals to be achieved, recognising the range of support that can be provided – including information, advice, benefits checks, falls prevention services, handyman services, community transport services, social activities, health promotion/support groups all with focu</w:t>
      </w:r>
      <w:r w:rsidR="00630870">
        <w:t>s on self-care and independence;</w:t>
      </w:r>
    </w:p>
    <w:p w14:paraId="729D1A90" w14:textId="77777777" w:rsidR="009363A2" w:rsidRDefault="009363A2" w:rsidP="00D53262">
      <w:pPr>
        <w:pStyle w:val="ListParagraph"/>
      </w:pPr>
      <w:r>
        <w:t>Signposting/Supporting patients to access services, including community organisations and groups, that may help them to self-care or to promote independence. This may include attending with the patients (where possible) until such time as they are able to attend independe</w:t>
      </w:r>
      <w:r w:rsidR="00630870">
        <w:t>ntly (if appropriate);</w:t>
      </w:r>
    </w:p>
    <w:p w14:paraId="1010FC7A" w14:textId="77777777" w:rsidR="009363A2" w:rsidRDefault="009363A2" w:rsidP="00D53262">
      <w:pPr>
        <w:pStyle w:val="ListParagraph"/>
      </w:pPr>
      <w:r>
        <w:t>Ensure that the patients’ goals are achieved and releasing them from the caseload only when there are suitable community and voluntary sector services in place and when the patient is receiving adequ</w:t>
      </w:r>
      <w:r w:rsidR="00630870">
        <w:t>ate support from these services;</w:t>
      </w:r>
    </w:p>
    <w:p w14:paraId="76B29907" w14:textId="77777777" w:rsidR="009363A2" w:rsidRDefault="009363A2" w:rsidP="00D53262">
      <w:pPr>
        <w:pStyle w:val="ListParagraph"/>
      </w:pPr>
      <w:r>
        <w:t>Ensure working protocols for all parties meet all patient confidentiality requir</w:t>
      </w:r>
      <w:r w:rsidR="00630870">
        <w:t>ements and Caldicott guidelines;</w:t>
      </w:r>
    </w:p>
    <w:p w14:paraId="3CA59109" w14:textId="77777777" w:rsidR="009363A2" w:rsidRDefault="009363A2" w:rsidP="00D53262">
      <w:pPr>
        <w:pStyle w:val="ListParagraph"/>
      </w:pPr>
      <w:r>
        <w:t>Ensure secure storage of patient details as per all relevant national legislat</w:t>
      </w:r>
      <w:r w:rsidR="00630870">
        <w:t>ion and good practice guidance;</w:t>
      </w:r>
      <w:r>
        <w:t xml:space="preserve"> </w:t>
      </w:r>
    </w:p>
    <w:p w14:paraId="36B9EAE6" w14:textId="77777777" w:rsidR="009363A2" w:rsidRDefault="009363A2" w:rsidP="00D53262">
      <w:pPr>
        <w:pStyle w:val="ListParagraph"/>
      </w:pPr>
      <w:r>
        <w:t>Being supportive of and using, where appropriate, existing projects within the locality, such as Frontline, Community Builders and Social Prescription to better inform development of such services, and their relationship to emergin</w:t>
      </w:r>
      <w:r w:rsidR="00630870">
        <w:t>g Social Prescribing programmes; and</w:t>
      </w:r>
      <w:r>
        <w:t xml:space="preserve"> </w:t>
      </w:r>
    </w:p>
    <w:p w14:paraId="15755139" w14:textId="77777777" w:rsidR="009363A2" w:rsidRDefault="009363A2" w:rsidP="00D53262">
      <w:pPr>
        <w:pStyle w:val="ListParagraph"/>
      </w:pPr>
      <w:r>
        <w:t>Cooperate with and participate in externally commissioned evaluation by an external academic partner commissioned by ECC.</w:t>
      </w:r>
    </w:p>
    <w:p w14:paraId="50B9BF1D" w14:textId="52D1C631" w:rsidR="00CD1667" w:rsidRDefault="00CD1667" w:rsidP="00CD1667">
      <w:pPr>
        <w:pStyle w:val="Heading2"/>
        <w:numPr>
          <w:ilvl w:val="1"/>
          <w:numId w:val="1"/>
        </w:numPr>
        <w:tabs>
          <w:tab w:val="clear" w:pos="3349"/>
          <w:tab w:val="num" w:pos="567"/>
        </w:tabs>
        <w:ind w:left="567" w:hanging="567"/>
      </w:pPr>
      <w:bookmarkStart w:id="26" w:name="_Toc482282282"/>
      <w:bookmarkStart w:id="27" w:name="_Toc497934262"/>
      <w:r>
        <w:t>Terms of Reference</w:t>
      </w:r>
      <w:bookmarkEnd w:id="26"/>
      <w:bookmarkEnd w:id="27"/>
      <w:r>
        <w:t xml:space="preserve"> </w:t>
      </w:r>
    </w:p>
    <w:p w14:paraId="00E59959" w14:textId="77777777" w:rsidR="00D86C7A" w:rsidRDefault="0042631F" w:rsidP="00AE785D">
      <w:pPr>
        <w:pStyle w:val="BodyText-parastyle"/>
      </w:pPr>
      <w:r w:rsidRPr="00DE4B33">
        <w:t>ECC require</w:t>
      </w:r>
      <w:r>
        <w:t>d</w:t>
      </w:r>
      <w:r w:rsidRPr="00DE4B33">
        <w:t xml:space="preserve"> an evaluation partner to develop an evaluation methodology and conduct evaluation work which</w:t>
      </w:r>
      <w:r w:rsidR="00CF02E1">
        <w:t xml:space="preserve"> would help</w:t>
      </w:r>
      <w:r w:rsidRPr="00DE4B33">
        <w:t xml:space="preserve"> decision makers to </w:t>
      </w:r>
      <w:r w:rsidRPr="000444B6">
        <w:t xml:space="preserve">understand the effectiveness of the </w:t>
      </w:r>
      <w:r w:rsidR="00540676" w:rsidRPr="000444B6">
        <w:lastRenderedPageBreak/>
        <w:t xml:space="preserve">Social Prescribing </w:t>
      </w:r>
      <w:r w:rsidRPr="000444B6">
        <w:t>service in terms of impact on services and specifically cashable savings, and medium-term health and wellbeing outcomes for service users.</w:t>
      </w:r>
      <w:r w:rsidR="00344E76">
        <w:t xml:space="preserve"> </w:t>
      </w:r>
      <w:r w:rsidR="00B5673B">
        <w:t>The terms of reference for this evaluation</w:t>
      </w:r>
      <w:r w:rsidR="00B5673B" w:rsidRPr="00DE4B33">
        <w:t xml:space="preserve"> requir</w:t>
      </w:r>
      <w:r w:rsidR="00B5673B">
        <w:t xml:space="preserve">e </w:t>
      </w:r>
      <w:r w:rsidR="008E7191">
        <w:t>project and programme reports that set</w:t>
      </w:r>
      <w:r w:rsidR="00B5673B">
        <w:t xml:space="preserve"> out</w:t>
      </w:r>
      <w:r w:rsidR="00B5673B" w:rsidRPr="00DE4B33">
        <w:t xml:space="preserve"> </w:t>
      </w:r>
      <w:r w:rsidR="00B5673B">
        <w:t xml:space="preserve">the </w:t>
      </w:r>
      <w:r w:rsidR="00D86C7A">
        <w:t xml:space="preserve">primary, secondary and wider </w:t>
      </w:r>
      <w:r w:rsidR="00B5673B" w:rsidRPr="00DE4B33">
        <w:t>outcomes</w:t>
      </w:r>
      <w:r w:rsidR="00B5673B">
        <w:t xml:space="preserve"> that have been delivered </w:t>
      </w:r>
      <w:r w:rsidR="00D86C7A">
        <w:t>as follows:</w:t>
      </w:r>
    </w:p>
    <w:p w14:paraId="0338AEB2" w14:textId="77777777" w:rsidR="00B5673B" w:rsidRPr="006543D5" w:rsidRDefault="00B5673B" w:rsidP="00AE785D">
      <w:pPr>
        <w:pStyle w:val="BodyText-parastylebold"/>
      </w:pPr>
      <w:r w:rsidRPr="006543D5">
        <w:t>Primary outcomes:</w:t>
      </w:r>
    </w:p>
    <w:p w14:paraId="3092A175" w14:textId="77777777" w:rsidR="00B5673B" w:rsidRPr="008140C8" w:rsidRDefault="00B5673B" w:rsidP="00D53262">
      <w:pPr>
        <w:pStyle w:val="ListParagraph"/>
      </w:pPr>
      <w:r w:rsidRPr="008140C8">
        <w:t>Primary care use by prescription recipients, and savings associated with any reduction (in terms of a reduction in spending on individuals receiving a social prescription)</w:t>
      </w:r>
    </w:p>
    <w:p w14:paraId="0448CCBA" w14:textId="77777777" w:rsidR="00B5673B" w:rsidRPr="008140C8" w:rsidRDefault="00B5673B" w:rsidP="00D53262">
      <w:pPr>
        <w:pStyle w:val="ListParagraph"/>
      </w:pPr>
      <w:r w:rsidRPr="008140C8">
        <w:t xml:space="preserve">Secondary care use and savings associated with any reduction </w:t>
      </w:r>
    </w:p>
    <w:p w14:paraId="77E29DC6" w14:textId="77777777" w:rsidR="00B5673B" w:rsidRPr="008140C8" w:rsidRDefault="00B5673B" w:rsidP="00D53262">
      <w:pPr>
        <w:pStyle w:val="ListParagraph"/>
      </w:pPr>
      <w:r w:rsidRPr="008140C8">
        <w:t>Impact on social care use, and savings associated with any reduction</w:t>
      </w:r>
    </w:p>
    <w:p w14:paraId="4BCB9ED7" w14:textId="77777777" w:rsidR="00B5673B" w:rsidRPr="006543D5" w:rsidRDefault="00B5673B" w:rsidP="00AE785D">
      <w:pPr>
        <w:pStyle w:val="BodyText-parastylebold"/>
      </w:pPr>
      <w:r w:rsidRPr="006543D5">
        <w:t>Secondary outcomes:</w:t>
      </w:r>
    </w:p>
    <w:p w14:paraId="5D998189" w14:textId="77777777" w:rsidR="00B5673B" w:rsidRPr="008140C8" w:rsidRDefault="00B5673B" w:rsidP="00D53262">
      <w:pPr>
        <w:pStyle w:val="ListParagraph"/>
      </w:pPr>
      <w:r w:rsidRPr="008140C8">
        <w:t xml:space="preserve">Impact on mental wellbeing, social isolation and general health, and patient experience of </w:t>
      </w:r>
      <w:r>
        <w:t>Social Prescribing</w:t>
      </w:r>
    </w:p>
    <w:p w14:paraId="650B4008" w14:textId="77777777" w:rsidR="00B5673B" w:rsidRPr="008140C8" w:rsidRDefault="00B5673B" w:rsidP="00D53262">
      <w:pPr>
        <w:pStyle w:val="ListParagraph"/>
      </w:pPr>
      <w:r w:rsidRPr="008140C8">
        <w:t xml:space="preserve">Estimates of cost to the NHS and Essex County Council of providing the services that people are directed to via social prescriptions </w:t>
      </w:r>
    </w:p>
    <w:p w14:paraId="7BA455E2" w14:textId="77777777" w:rsidR="00F560B4" w:rsidRDefault="00B5673B" w:rsidP="00D53262">
      <w:pPr>
        <w:pStyle w:val="ListParagraph"/>
      </w:pPr>
      <w:r w:rsidRPr="008140C8">
        <w:t>Whole-system impacts of the SP approach, including impact on SP providers, improving community resilience and capacity, improving inter-organisational relationships and joint working</w:t>
      </w:r>
    </w:p>
    <w:p w14:paraId="6A7FBD47" w14:textId="77777777" w:rsidR="00B5673B" w:rsidRDefault="00B5673B" w:rsidP="00D53262">
      <w:pPr>
        <w:pStyle w:val="ListParagraph"/>
      </w:pPr>
      <w:r>
        <w:t>T</w:t>
      </w:r>
      <w:r w:rsidRPr="008140C8">
        <w:t>he wider impact that a social prescription may have on the families and carers of individu</w:t>
      </w:r>
      <w:r>
        <w:t>als who receive a prescription</w:t>
      </w:r>
    </w:p>
    <w:p w14:paraId="418D4880" w14:textId="77777777" w:rsidR="00071448" w:rsidRDefault="00B5673B" w:rsidP="00AE785D">
      <w:pPr>
        <w:pStyle w:val="BodyText-parastyle"/>
      </w:pPr>
      <w:r>
        <w:t>The terms of reference for the evaluation highlight that these outcome targets were agreed with CCGs and provider partners prior to the commencement of the evaluation.</w:t>
      </w:r>
    </w:p>
    <w:p w14:paraId="64232C11" w14:textId="77777777" w:rsidR="00630870" w:rsidRDefault="00630870" w:rsidP="00630870">
      <w:pPr>
        <w:pStyle w:val="Heading2"/>
      </w:pPr>
      <w:bookmarkStart w:id="28" w:name="_Toc497934263"/>
      <w:r>
        <w:t>Purpose of this report</w:t>
      </w:r>
      <w:bookmarkEnd w:id="28"/>
      <w:r>
        <w:t xml:space="preserve"> </w:t>
      </w:r>
    </w:p>
    <w:p w14:paraId="345E72A6" w14:textId="77777777" w:rsidR="00630870" w:rsidRDefault="00630870" w:rsidP="00AE785D">
      <w:pPr>
        <w:pStyle w:val="BodyText-parastyle"/>
      </w:pPr>
      <w:r>
        <w:t xml:space="preserve">The purpose of this report is to summarise </w:t>
      </w:r>
      <w:r w:rsidR="00540676">
        <w:t xml:space="preserve">the key </w:t>
      </w:r>
      <w:r>
        <w:t xml:space="preserve">findings from each of the pilot Social Prescribing projects at an overall programme level, the detail on each of the individual projects is contained in separate evaluation reports. </w:t>
      </w:r>
    </w:p>
    <w:p w14:paraId="2661286B" w14:textId="77777777" w:rsidR="00630870" w:rsidRDefault="00630870" w:rsidP="00AE785D">
      <w:pPr>
        <w:pStyle w:val="BodyText-parastyle"/>
      </w:pPr>
    </w:p>
    <w:p w14:paraId="785849BD" w14:textId="77777777" w:rsidR="00CD1667" w:rsidRDefault="00CD1667" w:rsidP="009363A2">
      <w:pPr>
        <w:pStyle w:val="Heading1"/>
      </w:pPr>
      <w:bookmarkStart w:id="29" w:name="_Toc482282283"/>
      <w:bookmarkStart w:id="30" w:name="_Toc497934264"/>
      <w:r>
        <w:lastRenderedPageBreak/>
        <w:t>Methodology</w:t>
      </w:r>
      <w:bookmarkEnd w:id="29"/>
      <w:bookmarkEnd w:id="30"/>
      <w:r>
        <w:t xml:space="preserve"> </w:t>
      </w:r>
    </w:p>
    <w:p w14:paraId="6E11D2B1" w14:textId="77777777" w:rsidR="009363A2" w:rsidRDefault="009363A2" w:rsidP="009363A2">
      <w:pPr>
        <w:pStyle w:val="Heading2"/>
      </w:pPr>
      <w:bookmarkStart w:id="31" w:name="_Toc497934265"/>
      <w:r>
        <w:t>Methodology Stages</w:t>
      </w:r>
      <w:bookmarkEnd w:id="31"/>
      <w:r>
        <w:t xml:space="preserve"> </w:t>
      </w:r>
    </w:p>
    <w:p w14:paraId="3CCCB408" w14:textId="77777777" w:rsidR="00162884" w:rsidRDefault="00162884" w:rsidP="00AE785D">
      <w:pPr>
        <w:pStyle w:val="BodyText-parastyle"/>
      </w:pPr>
      <w:r>
        <w:t xml:space="preserve">The </w:t>
      </w:r>
      <w:r w:rsidRPr="00E8196B">
        <w:t>methodology</w:t>
      </w:r>
      <w:r>
        <w:t xml:space="preserve"> used for the evaluation</w:t>
      </w:r>
      <w:r w:rsidRPr="00E8196B">
        <w:t xml:space="preserve"> was ag</w:t>
      </w:r>
      <w:r>
        <w:t xml:space="preserve">reed with </w:t>
      </w:r>
      <w:r w:rsidR="00B57459">
        <w:t>ECC</w:t>
      </w:r>
      <w:r>
        <w:t xml:space="preserve"> in advance of the project commencing. The evaluators also presented the evaluation methodology to the CCGs/ delivery bodies at the outset. The key stages of work involved: </w:t>
      </w:r>
    </w:p>
    <w:p w14:paraId="142367C2" w14:textId="77777777" w:rsidR="00162884" w:rsidRPr="00344E76" w:rsidRDefault="00A86037" w:rsidP="00AE785D">
      <w:pPr>
        <w:pStyle w:val="BodyText-parastyle"/>
      </w:pPr>
      <w:r w:rsidRPr="00234FBE">
        <w:rPr>
          <w:color w:val="00B0F0"/>
        </w:rPr>
        <w:t>Stage 1: Desk Research</w:t>
      </w:r>
    </w:p>
    <w:p w14:paraId="2D503094" w14:textId="77777777" w:rsidR="00162884" w:rsidRDefault="00162884" w:rsidP="00D53262">
      <w:pPr>
        <w:pStyle w:val="ListParagraph"/>
      </w:pPr>
      <w:r>
        <w:t>B</w:t>
      </w:r>
      <w:r w:rsidRPr="00E8196B">
        <w:t>rief review of relevant policy docume</w:t>
      </w:r>
      <w:r>
        <w:t>nts to set the context for the evaluation</w:t>
      </w:r>
    </w:p>
    <w:p w14:paraId="786472F5" w14:textId="524BB5CE" w:rsidR="00162884" w:rsidRDefault="00162884" w:rsidP="00D53262">
      <w:pPr>
        <w:pStyle w:val="ListParagraph"/>
      </w:pPr>
      <w:r>
        <w:t>D</w:t>
      </w:r>
      <w:r w:rsidRPr="00E8196B">
        <w:t>etailed desk review of the</w:t>
      </w:r>
      <w:r>
        <w:t xml:space="preserve"> </w:t>
      </w:r>
      <w:r w:rsidRPr="00E8196B">
        <w:t>pro</w:t>
      </w:r>
      <w:r>
        <w:t>ject</w:t>
      </w:r>
      <w:r w:rsidRPr="00E8196B">
        <w:t xml:space="preserve"> </w:t>
      </w:r>
      <w:r>
        <w:t>delivery model</w:t>
      </w:r>
      <w:r w:rsidRPr="00E8196B">
        <w:t>, aims and objectives,</w:t>
      </w:r>
      <w:r w:rsidR="003C5781">
        <w:t xml:space="preserve"> funding, anticipated outcomes, </w:t>
      </w:r>
      <w:r w:rsidRPr="00E8196B">
        <w:t xml:space="preserve">the processes in place to collect monitoring </w:t>
      </w:r>
      <w:r>
        <w:t>/</w:t>
      </w:r>
      <w:r w:rsidRPr="00E8196B">
        <w:t xml:space="preserve"> evaluation data and referrals etc.</w:t>
      </w:r>
    </w:p>
    <w:p w14:paraId="409B0F00" w14:textId="77777777" w:rsidR="00162884" w:rsidRPr="00305ABA" w:rsidRDefault="00162884" w:rsidP="00D53262">
      <w:pPr>
        <w:pStyle w:val="ListParagraph"/>
      </w:pPr>
      <w:r>
        <w:t>Analysis of progress against targets and expenditure against budget</w:t>
      </w:r>
    </w:p>
    <w:p w14:paraId="179B3F5B" w14:textId="77777777" w:rsidR="00162884" w:rsidRPr="00344E76" w:rsidRDefault="00162884" w:rsidP="00AE785D">
      <w:pPr>
        <w:pStyle w:val="BodyText-parastyle"/>
      </w:pPr>
      <w:r w:rsidRPr="00234FBE">
        <w:rPr>
          <w:color w:val="00B0F0"/>
        </w:rPr>
        <w:t>Stage 2: Development of data collectio</w:t>
      </w:r>
      <w:r w:rsidR="00A86037" w:rsidRPr="00234FBE">
        <w:rPr>
          <w:color w:val="00B0F0"/>
        </w:rPr>
        <w:t>n tools</w:t>
      </w:r>
    </w:p>
    <w:p w14:paraId="39DA3D0F" w14:textId="77777777" w:rsidR="00162884" w:rsidRDefault="00162884" w:rsidP="00D53262">
      <w:pPr>
        <w:pStyle w:val="ListParagraph"/>
      </w:pPr>
      <w:r w:rsidRPr="00D86C7A">
        <w:rPr>
          <w:color w:val="00B0F0"/>
        </w:rPr>
        <w:t xml:space="preserve">A baseline survey </w:t>
      </w:r>
      <w:r w:rsidRPr="00F045E6">
        <w:t>was developed for patients / clients that received support after 18 July 2016 (date established for commencement o</w:t>
      </w:r>
      <w:r>
        <w:t xml:space="preserve">f the baseline questionnaire). </w:t>
      </w:r>
      <w:r w:rsidRPr="00F045E6">
        <w:t>This was designed to gather information on health and wellbeing prior to receiving support from the service. A copy of the survey is in Appendix 1</w:t>
      </w:r>
    </w:p>
    <w:p w14:paraId="0465285E" w14:textId="77777777" w:rsidR="00162884" w:rsidRDefault="00162884" w:rsidP="00D53262">
      <w:pPr>
        <w:pStyle w:val="ListParagraph"/>
      </w:pPr>
      <w:r w:rsidRPr="00D86C7A">
        <w:rPr>
          <w:color w:val="00B0F0"/>
        </w:rPr>
        <w:t xml:space="preserve">A follow-up survey </w:t>
      </w:r>
      <w:r w:rsidRPr="00F045E6">
        <w:t>was developed to gather information on patients / clients health and wellbeing after receiving support from the service. A copy</w:t>
      </w:r>
      <w:r>
        <w:t xml:space="preserve"> of the survey is in Appendix 2</w:t>
      </w:r>
    </w:p>
    <w:p w14:paraId="37CA4F4D" w14:textId="77777777" w:rsidR="00C845C7" w:rsidRDefault="00162884" w:rsidP="00AE785D">
      <w:pPr>
        <w:pStyle w:val="BodyText-parastyle"/>
      </w:pPr>
      <w:r w:rsidRPr="007E1D61">
        <w:t xml:space="preserve">All data collection tools were reviewed and approved by Essex County Council and Essex CCGs Information Governance teams.  </w:t>
      </w:r>
    </w:p>
    <w:p w14:paraId="67511CCE" w14:textId="77777777" w:rsidR="002A3A17" w:rsidRDefault="00C845C7" w:rsidP="00AE785D">
      <w:pPr>
        <w:pStyle w:val="BodyText-parastyle"/>
      </w:pPr>
      <w:r>
        <w:t>The survey was developed in the absence of access to actual data on health service use</w:t>
      </w:r>
      <w:r w:rsidR="002A3A17">
        <w:t xml:space="preserve"> before and after engagement with the Social Prescribing projects. This would have been preferable as often </w:t>
      </w:r>
      <w:r w:rsidR="002A3A17" w:rsidRPr="002A3A17">
        <w:t>service user self-reporting of health service use can be unreliable</w:t>
      </w:r>
      <w:r w:rsidR="002A3A17">
        <w:t xml:space="preserve">, </w:t>
      </w:r>
      <w:r w:rsidR="002A3A17" w:rsidRPr="002A3A17">
        <w:t xml:space="preserve">however this was investigated and </w:t>
      </w:r>
      <w:r w:rsidR="002A3A17">
        <w:t xml:space="preserve">it </w:t>
      </w:r>
      <w:r w:rsidR="002A3A17" w:rsidRPr="002A3A17">
        <w:t>was not available within the timescales for th</w:t>
      </w:r>
      <w:r w:rsidR="002A3A17">
        <w:t xml:space="preserve">e </w:t>
      </w:r>
      <w:r w:rsidR="002A3A17" w:rsidRPr="002A3A17">
        <w:t>evaluation</w:t>
      </w:r>
      <w:r w:rsidR="002A3A17">
        <w:t xml:space="preserve">. </w:t>
      </w:r>
    </w:p>
    <w:p w14:paraId="2DCAF0E4" w14:textId="77777777" w:rsidR="002A3A17" w:rsidRDefault="00162884" w:rsidP="00AE785D">
      <w:pPr>
        <w:pStyle w:val="BodyText-parastyle"/>
      </w:pPr>
      <w:r w:rsidRPr="007E1D61">
        <w:t>Each survey was developed to collect the quantitative data required to assign cost values using the New Economy</w:t>
      </w:r>
      <w:r w:rsidR="00C53B46">
        <w:t xml:space="preserve"> Manchester</w:t>
      </w:r>
      <w:r w:rsidRPr="007E1D61">
        <w:t xml:space="preserve"> model</w:t>
      </w:r>
      <w:r>
        <w:t>.</w:t>
      </w:r>
      <w:r>
        <w:rPr>
          <w:rStyle w:val="FootnoteReference"/>
        </w:rPr>
        <w:footnoteReference w:id="47"/>
      </w:r>
      <w:r w:rsidR="002A3A17">
        <w:t xml:space="preserve"> This </w:t>
      </w:r>
      <w:r w:rsidR="00C53B46">
        <w:t xml:space="preserve">model </w:t>
      </w:r>
      <w:r w:rsidR="002A3A17">
        <w:t xml:space="preserve">was used as the business case submitted for TCA funding included estimated cost savings for each project using New Economy Manchester modelling. It was therefore required to be used at the evaluation stage. </w:t>
      </w:r>
    </w:p>
    <w:p w14:paraId="5D881D70" w14:textId="312AF4B5" w:rsidR="00E75101" w:rsidRDefault="00CC57F2" w:rsidP="00AE785D">
      <w:pPr>
        <w:pStyle w:val="BodyText-parastyle"/>
      </w:pPr>
      <w:r>
        <w:lastRenderedPageBreak/>
        <w:t>While f</w:t>
      </w:r>
      <w:r w:rsidRPr="00CC57F2">
        <w:t>unding was also provided to the Citizens Advice Bureau</w:t>
      </w:r>
      <w:r w:rsidR="002F5408">
        <w:t xml:space="preserve"> (CAB)</w:t>
      </w:r>
      <w:r w:rsidRPr="00CC57F2">
        <w:t xml:space="preserve"> in Tendring to operate a mental health hub</w:t>
      </w:r>
      <w:r>
        <w:t>,</w:t>
      </w:r>
      <w:r w:rsidRPr="00CC57F2">
        <w:t xml:space="preserve"> </w:t>
      </w:r>
      <w:r w:rsidR="00E679A7">
        <w:t xml:space="preserve">the organisation stated </w:t>
      </w:r>
      <w:r w:rsidRPr="00CC57F2">
        <w:t xml:space="preserve">it was not possible to conduct surveys or consultations with services users due to the vulnerable nature of the client group. This meant they often did not provide consent to speak with a </w:t>
      </w:r>
      <w:r w:rsidR="00C70808" w:rsidRPr="00CC57F2">
        <w:t>third-party</w:t>
      </w:r>
      <w:r w:rsidRPr="00CC57F2">
        <w:t xml:space="preserve"> organisation, or where consent was given, they did not wish to discuss their experience. </w:t>
      </w:r>
    </w:p>
    <w:p w14:paraId="49DE3DE2" w14:textId="77777777" w:rsidR="00E75101" w:rsidRDefault="00E75101" w:rsidP="00AE785D">
      <w:pPr>
        <w:pStyle w:val="BodyText-parastyle"/>
      </w:pPr>
      <w:r>
        <w:t xml:space="preserve">Survey data was not collected for the Southend-on-Sea Social Prescribing project as </w:t>
      </w:r>
      <w:r w:rsidRPr="00E75101">
        <w:t xml:space="preserve">Southend CCG and Southend Council </w:t>
      </w:r>
      <w:r>
        <w:t>completed</w:t>
      </w:r>
      <w:r w:rsidRPr="00E75101">
        <w:t xml:space="preserve"> evaluation work for this project in-house.  </w:t>
      </w:r>
      <w:r>
        <w:t>However</w:t>
      </w:r>
      <w:r w:rsidRPr="00E75101">
        <w:t xml:space="preserve"> </w:t>
      </w:r>
      <w:r w:rsidR="00B676B1">
        <w:t xml:space="preserve">RSM </w:t>
      </w:r>
      <w:r w:rsidRPr="00E75101">
        <w:t xml:space="preserve">PACEC completed desk research and focus groups with project participants from Southend-On-Sea and the findings from these are reported on in section </w:t>
      </w:r>
      <w:r w:rsidR="003702C8">
        <w:t>6.5</w:t>
      </w:r>
      <w:r w:rsidRPr="00E75101">
        <w:t>.</w:t>
      </w:r>
    </w:p>
    <w:p w14:paraId="6DF8EC07" w14:textId="77777777" w:rsidR="00162884" w:rsidRPr="00234FBE" w:rsidRDefault="00162884" w:rsidP="00AE785D">
      <w:pPr>
        <w:pStyle w:val="BodyText-parastyle"/>
        <w:rPr>
          <w:color w:val="00B0F0"/>
        </w:rPr>
      </w:pPr>
      <w:r w:rsidRPr="00234FBE">
        <w:rPr>
          <w:color w:val="00B0F0"/>
        </w:rPr>
        <w:t>Stage 3: Consultation with Service Users</w:t>
      </w:r>
    </w:p>
    <w:p w14:paraId="0183BC16" w14:textId="77777777" w:rsidR="00162884" w:rsidRDefault="00162884" w:rsidP="00AE785D">
      <w:pPr>
        <w:pStyle w:val="BodyText-parastyle"/>
      </w:pPr>
      <w:r>
        <w:t xml:space="preserve">Quantitative data from those who were supported by the project was collected using a survey of service users (who provided consent) on joining the project and again 3 months later. Analysis in section </w:t>
      </w:r>
      <w:r w:rsidR="003702C8">
        <w:t>6</w:t>
      </w:r>
      <w:r>
        <w:t>.4 focusses on changes between the baseline survey and follow-up survey.</w:t>
      </w:r>
    </w:p>
    <w:p w14:paraId="35D34F11" w14:textId="77777777" w:rsidR="00162884" w:rsidRDefault="00162884" w:rsidP="00AE785D">
      <w:pPr>
        <w:pStyle w:val="BodyText-parastyle"/>
      </w:pPr>
      <w:r>
        <w:t>The survey included questions about three types of outcomes relevant to social prescribing:</w:t>
      </w:r>
    </w:p>
    <w:p w14:paraId="068D0610" w14:textId="77777777" w:rsidR="00162884" w:rsidRDefault="00162884" w:rsidP="00D53262">
      <w:pPr>
        <w:pStyle w:val="ListParagraph"/>
      </w:pPr>
      <w:r>
        <w:t xml:space="preserve">Primary, secondary and social care use – as </w:t>
      </w:r>
      <w:r w:rsidRPr="00D029DC">
        <w:t>Primary and Secondary coded data</w:t>
      </w:r>
      <w:r>
        <w:t xml:space="preserve"> was not available for this evaluation, questions were developed to record self-reported use of primary, secondary and social care services in the 3 months prior to engaging with the service and 3 months after</w:t>
      </w:r>
    </w:p>
    <w:p w14:paraId="6B2E4C4E" w14:textId="77777777" w:rsidR="00162884" w:rsidRDefault="00162884" w:rsidP="00D53262">
      <w:pPr>
        <w:pStyle w:val="ListParagraph"/>
      </w:pPr>
      <w:r>
        <w:t xml:space="preserve">Personal wellbeing- </w:t>
      </w:r>
      <w:r w:rsidRPr="00D029DC">
        <w:t xml:space="preserve">the 4 measures of personal well-being used by the </w:t>
      </w:r>
      <w:r w:rsidR="00C80F69">
        <w:t>Office of National Statistics (</w:t>
      </w:r>
      <w:r w:rsidRPr="00D029DC">
        <w:t>ONS</w:t>
      </w:r>
      <w:r w:rsidR="00C80F69">
        <w:t>)</w:t>
      </w:r>
      <w:r>
        <w:t xml:space="preserve"> were used to measure feelings on satisfaction with life, that things in life are worthwhile, happiness and anxiety</w:t>
      </w:r>
    </w:p>
    <w:p w14:paraId="6A324AE3" w14:textId="77777777" w:rsidR="00162884" w:rsidRDefault="00162884" w:rsidP="00D53262">
      <w:pPr>
        <w:pStyle w:val="ListParagraph"/>
      </w:pPr>
      <w:r>
        <w:t xml:space="preserve">General health – the EQ-5D scale was used to provide a measure of ‘health related quality of life’. EQ-5D measures five components of health – mobility, self-care, usual activities, pain/ discomfort and anxiety / depression </w:t>
      </w:r>
    </w:p>
    <w:p w14:paraId="266FDEBA" w14:textId="77777777" w:rsidR="00162884" w:rsidRDefault="00162884" w:rsidP="00D53262">
      <w:pPr>
        <w:pStyle w:val="ListParagraph"/>
      </w:pPr>
      <w:r>
        <w:t xml:space="preserve">Mental health- the </w:t>
      </w:r>
      <w:r w:rsidRPr="00D029DC">
        <w:t>Short Warwick Edinburgh Scale</w:t>
      </w:r>
      <w:r>
        <w:t xml:space="preserve"> is used to monitor mental wellbeing; the shortened version provides a seven-item scale to measure thoughts and feelings from ‘none of the time’ to ‘all of the time’</w:t>
      </w:r>
    </w:p>
    <w:p w14:paraId="2CC04D81" w14:textId="77777777" w:rsidR="00162884" w:rsidRPr="00F045E6" w:rsidRDefault="00162884" w:rsidP="00AE785D">
      <w:pPr>
        <w:pStyle w:val="BodyText-parastyle"/>
      </w:pPr>
      <w:r>
        <w:t>The follow-up survey also asked questions on satisfaction with the support provided, what worked well and any areas for development.</w:t>
      </w:r>
    </w:p>
    <w:p w14:paraId="686A0FB9" w14:textId="77777777" w:rsidR="00162884" w:rsidRPr="00344E76" w:rsidRDefault="00162884" w:rsidP="00AE785D">
      <w:pPr>
        <w:pStyle w:val="BodyText-parastyle"/>
      </w:pPr>
      <w:r w:rsidRPr="00234FBE">
        <w:rPr>
          <w:color w:val="00B0F0"/>
        </w:rPr>
        <w:t>Stage 4: Interviews with Key Stakeholders</w:t>
      </w:r>
      <w:r w:rsidRPr="00344E76">
        <w:t xml:space="preserve"> </w:t>
      </w:r>
    </w:p>
    <w:p w14:paraId="47EA1F72" w14:textId="77777777" w:rsidR="00162884" w:rsidRPr="00D86C7A" w:rsidRDefault="00162884" w:rsidP="00AE785D">
      <w:pPr>
        <w:pStyle w:val="BodyText-parastyle"/>
      </w:pPr>
      <w:r>
        <w:t xml:space="preserve">Interviews were carried out with key stakeholders </w:t>
      </w:r>
      <w:r w:rsidR="00642514">
        <w:t xml:space="preserve">for each project, </w:t>
      </w:r>
      <w:r>
        <w:t xml:space="preserve">including partners and those that had made referrals to the project to </w:t>
      </w:r>
      <w:r w:rsidRPr="00D86C7A">
        <w:t>obtain their feedback on the outcomes and impacts that have been achieved</w:t>
      </w:r>
      <w:r>
        <w:t>, what has worked well and any areas for development.</w:t>
      </w:r>
      <w:r w:rsidR="00642514">
        <w:t xml:space="preserve"> Detailed findings for each project are included in the individual project reports.</w:t>
      </w:r>
    </w:p>
    <w:p w14:paraId="163630EF" w14:textId="77777777" w:rsidR="00720CC0" w:rsidRDefault="00720CC0" w:rsidP="00AE785D">
      <w:pPr>
        <w:pStyle w:val="BodyText-parastyle"/>
      </w:pPr>
    </w:p>
    <w:p w14:paraId="7BC54030" w14:textId="77777777" w:rsidR="00162884" w:rsidRPr="00344E76" w:rsidRDefault="00162884" w:rsidP="00AE785D">
      <w:pPr>
        <w:pStyle w:val="BodyText-parastyle"/>
      </w:pPr>
      <w:r w:rsidRPr="00234FBE">
        <w:rPr>
          <w:color w:val="00B0F0"/>
        </w:rPr>
        <w:lastRenderedPageBreak/>
        <w:t>Stage 5: Case Studies</w:t>
      </w:r>
    </w:p>
    <w:p w14:paraId="7C6AEE92" w14:textId="25325010" w:rsidR="00375A26" w:rsidRDefault="00162884" w:rsidP="00AE785D">
      <w:pPr>
        <w:pStyle w:val="BodyText-parastyle"/>
      </w:pPr>
      <w:r>
        <w:t xml:space="preserve">Case studies are included in </w:t>
      </w:r>
      <w:r w:rsidRPr="00375A26">
        <w:t xml:space="preserve">section </w:t>
      </w:r>
      <w:r w:rsidR="003702C8">
        <w:t>6</w:t>
      </w:r>
      <w:r w:rsidR="00642514">
        <w:t>.</w:t>
      </w:r>
      <w:r w:rsidR="002C6EDD">
        <w:t>5</w:t>
      </w:r>
      <w:r>
        <w:t xml:space="preserve"> </w:t>
      </w:r>
      <w:r w:rsidRPr="00983C71">
        <w:t xml:space="preserve">to highlight how the services provided have impacted on the lives of </w:t>
      </w:r>
      <w:r>
        <w:t xml:space="preserve">service </w:t>
      </w:r>
      <w:r w:rsidR="005624F0">
        <w:t>users.</w:t>
      </w:r>
    </w:p>
    <w:p w14:paraId="2D4F4496" w14:textId="77777777" w:rsidR="00162884" w:rsidRPr="00A86037" w:rsidRDefault="00162884" w:rsidP="00AE785D">
      <w:pPr>
        <w:pStyle w:val="BodyText-parastyle"/>
      </w:pPr>
      <w:r w:rsidRPr="00A86037">
        <w:t>Stage 6: Analysis of Costs / Economic and Social Impacts</w:t>
      </w:r>
    </w:p>
    <w:p w14:paraId="5506F78C" w14:textId="77777777" w:rsidR="00162884" w:rsidRPr="003843D1" w:rsidRDefault="00162884" w:rsidP="00AE785D">
      <w:pPr>
        <w:pStyle w:val="BodyText-parastyle"/>
      </w:pPr>
      <w:r>
        <w:t>A</w:t>
      </w:r>
      <w:r w:rsidRPr="00983C71">
        <w:t>nalysis of the impacts on primary and secondary care / cost savings generated using the Manchester New Economy database.</w:t>
      </w:r>
    </w:p>
    <w:p w14:paraId="07539386" w14:textId="77777777" w:rsidR="00162884" w:rsidRPr="00344E76" w:rsidRDefault="00162884" w:rsidP="00AE785D">
      <w:pPr>
        <w:pStyle w:val="BodyText-parastyle"/>
      </w:pPr>
      <w:r w:rsidRPr="00234FBE">
        <w:rPr>
          <w:color w:val="00B0F0"/>
        </w:rPr>
        <w:t>Stage 7: Reporting</w:t>
      </w:r>
      <w:r w:rsidRPr="00344E76">
        <w:t xml:space="preserve"> </w:t>
      </w:r>
    </w:p>
    <w:p w14:paraId="2C4F311B" w14:textId="77777777" w:rsidR="00162884" w:rsidRPr="007E1D61" w:rsidRDefault="00162884" w:rsidP="00AE785D">
      <w:pPr>
        <w:pStyle w:val="BodyText-parastyle"/>
      </w:pPr>
      <w:r>
        <w:t xml:space="preserve">Development of a draft and final </w:t>
      </w:r>
      <w:r w:rsidR="00642514">
        <w:t xml:space="preserve">project </w:t>
      </w:r>
      <w:r>
        <w:t>report</w:t>
      </w:r>
      <w:r w:rsidR="00642514">
        <w:t>s and an overall draft and final programme report.</w:t>
      </w:r>
    </w:p>
    <w:p w14:paraId="751B9FD6" w14:textId="77777777" w:rsidR="00162884" w:rsidRPr="00162884" w:rsidRDefault="00162884" w:rsidP="00162884">
      <w:pPr>
        <w:pStyle w:val="Heading2"/>
      </w:pPr>
      <w:bookmarkStart w:id="32" w:name="_Toc463625358"/>
      <w:bookmarkStart w:id="33" w:name="_Toc465429167"/>
      <w:bookmarkStart w:id="34" w:name="_Toc485201554"/>
      <w:bookmarkStart w:id="35" w:name="_Toc497934266"/>
      <w:r w:rsidRPr="00162884">
        <w:t>Information / Data Governance</w:t>
      </w:r>
      <w:bookmarkEnd w:id="32"/>
      <w:bookmarkEnd w:id="33"/>
      <w:bookmarkEnd w:id="34"/>
      <w:bookmarkEnd w:id="35"/>
      <w:r w:rsidRPr="00162884">
        <w:t xml:space="preserve"> </w:t>
      </w:r>
    </w:p>
    <w:p w14:paraId="3FCFDC70" w14:textId="4CF69911" w:rsidR="00162884" w:rsidRDefault="00162884" w:rsidP="00AE785D">
      <w:pPr>
        <w:pStyle w:val="BodyText-parastyle"/>
      </w:pPr>
      <w:r w:rsidRPr="002B0BED">
        <w:t xml:space="preserve">All data collected for the evaluation </w:t>
      </w:r>
      <w:r>
        <w:t xml:space="preserve">complies with </w:t>
      </w:r>
      <w:r w:rsidRPr="002B0BED">
        <w:t>all relevant data protection legislation</w:t>
      </w:r>
      <w:r>
        <w:t xml:space="preserve"> and thanks </w:t>
      </w:r>
      <w:r w:rsidR="001819AB">
        <w:t xml:space="preserve">is extend </w:t>
      </w:r>
      <w:r>
        <w:t xml:space="preserve">to Amy Hamilton from the </w:t>
      </w:r>
      <w:r w:rsidR="00B57459">
        <w:t>ECC</w:t>
      </w:r>
      <w:r>
        <w:t xml:space="preserve"> Governance Team for working with us and the delivery providers in this regard. </w:t>
      </w:r>
    </w:p>
    <w:p w14:paraId="24488CBB" w14:textId="77777777" w:rsidR="00162884" w:rsidRPr="0012257C" w:rsidRDefault="00162884" w:rsidP="00AE785D">
      <w:pPr>
        <w:pStyle w:val="BodyText-parastyle"/>
      </w:pPr>
      <w:r w:rsidRPr="0012257C">
        <w:t xml:space="preserve">Service user contact details were obtained from </w:t>
      </w:r>
      <w:r w:rsidR="0012257C" w:rsidRPr="0012257C">
        <w:t>the delivery organisations</w:t>
      </w:r>
      <w:r w:rsidR="0012257C" w:rsidRPr="0012257C">
        <w:rPr>
          <w:rStyle w:val="FootnoteReference"/>
        </w:rPr>
        <w:footnoteReference w:id="48"/>
      </w:r>
      <w:r w:rsidR="001E4853" w:rsidRPr="0012257C">
        <w:t xml:space="preserve"> </w:t>
      </w:r>
      <w:r w:rsidRPr="0012257C">
        <w:t xml:space="preserve">through the following process which is in line with </w:t>
      </w:r>
      <w:r w:rsidR="00B57459">
        <w:t>ECC</w:t>
      </w:r>
      <w:r w:rsidRPr="0012257C">
        <w:t xml:space="preserve"> Information Governance Principles and Guidelines</w:t>
      </w:r>
      <w:r w:rsidRPr="0012257C">
        <w:rPr>
          <w:rStyle w:val="FootnoteReference"/>
        </w:rPr>
        <w:footnoteReference w:id="49"/>
      </w:r>
      <w:r w:rsidRPr="0012257C">
        <w:t>:</w:t>
      </w:r>
    </w:p>
    <w:p w14:paraId="0E4BA5D2" w14:textId="77777777" w:rsidR="00162884" w:rsidRPr="0012257C" w:rsidRDefault="00162884" w:rsidP="00D53262">
      <w:pPr>
        <w:pStyle w:val="ListParagraph"/>
      </w:pPr>
      <w:r w:rsidRPr="0012257C">
        <w:t xml:space="preserve">Consent was obtained from the patient / client by </w:t>
      </w:r>
      <w:r w:rsidR="0012257C" w:rsidRPr="0012257C">
        <w:t xml:space="preserve">the delivery organisation </w:t>
      </w:r>
      <w:r w:rsidRPr="0012257C">
        <w:t xml:space="preserve">for their information to be shared with RSM PACEC for the purposes of research / evaluation.  This was obtained verbally or via the completion of a consent form that follows the template(s) provided in the </w:t>
      </w:r>
      <w:r w:rsidR="00B57459">
        <w:t>ECC</w:t>
      </w:r>
      <w:r w:rsidRPr="0012257C">
        <w:t xml:space="preserve"> Information Governance Principles and Guidelines document</w:t>
      </w:r>
    </w:p>
    <w:p w14:paraId="0725327F" w14:textId="77777777" w:rsidR="0012257C" w:rsidRPr="0012257C" w:rsidRDefault="00162884" w:rsidP="00D53262">
      <w:pPr>
        <w:pStyle w:val="ListParagraph"/>
      </w:pPr>
      <w:r w:rsidRPr="0012257C">
        <w:t>For those that provided consent their contact details were</w:t>
      </w:r>
      <w:r w:rsidR="0012257C" w:rsidRPr="0012257C">
        <w:t xml:space="preserve"> either:</w:t>
      </w:r>
    </w:p>
    <w:p w14:paraId="390EF75F" w14:textId="77777777" w:rsidR="0012257C" w:rsidRPr="0012257C" w:rsidRDefault="00162884" w:rsidP="00D53262">
      <w:pPr>
        <w:pStyle w:val="-bullet"/>
      </w:pPr>
      <w:r w:rsidRPr="0012257C">
        <w:t xml:space="preserve">included in the baseline survey (completed by </w:t>
      </w:r>
      <w:r w:rsidR="0012257C" w:rsidRPr="0012257C">
        <w:t>the delivery organisation</w:t>
      </w:r>
      <w:r w:rsidRPr="0012257C">
        <w:t>), entered onto the online portal and then used by RSM PACEC to complete the follow-up survey</w:t>
      </w:r>
      <w:r w:rsidR="0012257C" w:rsidRPr="0012257C">
        <w:rPr>
          <w:rStyle w:val="FootnoteReference"/>
        </w:rPr>
        <w:footnoteReference w:id="50"/>
      </w:r>
      <w:r w:rsidR="0012257C" w:rsidRPr="0012257C">
        <w:t xml:space="preserve">; or </w:t>
      </w:r>
    </w:p>
    <w:p w14:paraId="0E34CB0F" w14:textId="77777777" w:rsidR="00162884" w:rsidRPr="0012257C" w:rsidRDefault="0012257C" w:rsidP="00D53262">
      <w:pPr>
        <w:pStyle w:val="-bullet"/>
      </w:pPr>
      <w:r w:rsidRPr="0012257C">
        <w:t>their contact details were forwarded to RSM PACEC to complete the baseline survey</w:t>
      </w:r>
      <w:r w:rsidRPr="0012257C">
        <w:rPr>
          <w:rStyle w:val="FootnoteReference"/>
        </w:rPr>
        <w:footnoteReference w:id="51"/>
      </w:r>
      <w:r w:rsidR="00FA588C">
        <w:t>.</w:t>
      </w:r>
      <w:r w:rsidRPr="0012257C">
        <w:t xml:space="preserve"> </w:t>
      </w:r>
    </w:p>
    <w:p w14:paraId="1A5EC63C" w14:textId="77777777" w:rsidR="00162884" w:rsidRPr="0012257C" w:rsidRDefault="00CF02E1" w:rsidP="00D53262">
      <w:pPr>
        <w:pStyle w:val="ListParagraph"/>
      </w:pPr>
      <w:r>
        <w:t xml:space="preserve">RSM </w:t>
      </w:r>
      <w:r w:rsidR="00162884" w:rsidRPr="0012257C">
        <w:t>PACEC stored all personal contact information in password protected files within a restricted access folder</w:t>
      </w:r>
    </w:p>
    <w:p w14:paraId="40E79FB9" w14:textId="77777777" w:rsidR="00162884" w:rsidRPr="0012257C" w:rsidRDefault="00162884" w:rsidP="00D53262">
      <w:pPr>
        <w:pStyle w:val="ListParagraph"/>
      </w:pPr>
      <w:r w:rsidRPr="0012257C">
        <w:lastRenderedPageBreak/>
        <w:t>At the start of e</w:t>
      </w:r>
      <w:r w:rsidR="00642514">
        <w:t xml:space="preserve">ach telephone call conducted by </w:t>
      </w:r>
      <w:r w:rsidR="00CF02E1">
        <w:t xml:space="preserve">RSM </w:t>
      </w:r>
      <w:r w:rsidRPr="0012257C">
        <w:t>PACEC the patient / client was asked to confirm their consent to take part in the evaluation and informed that:</w:t>
      </w:r>
    </w:p>
    <w:p w14:paraId="10E75154" w14:textId="77777777" w:rsidR="00162884" w:rsidRPr="0012257C" w:rsidRDefault="00162884" w:rsidP="00D53262">
      <w:pPr>
        <w:pStyle w:val="-bullet"/>
      </w:pPr>
      <w:r w:rsidRPr="0012257C">
        <w:t>Their personal i</w:t>
      </w:r>
      <w:r w:rsidR="00642514">
        <w:t xml:space="preserve">nformation had been provided to RSM </w:t>
      </w:r>
      <w:r w:rsidRPr="0012257C">
        <w:t xml:space="preserve">PACEC by </w:t>
      </w:r>
      <w:r w:rsidR="0012257C" w:rsidRPr="0012257C">
        <w:t>the delivery organisation</w:t>
      </w:r>
      <w:r w:rsidRPr="0012257C">
        <w:t xml:space="preserve"> under their consent</w:t>
      </w:r>
      <w:r w:rsidR="00776D5E">
        <w:t>;</w:t>
      </w:r>
    </w:p>
    <w:p w14:paraId="1527C42F" w14:textId="77777777" w:rsidR="00162884" w:rsidRPr="0012257C" w:rsidRDefault="00162884" w:rsidP="00D53262">
      <w:pPr>
        <w:pStyle w:val="-bullet"/>
      </w:pPr>
      <w:r w:rsidRPr="0012257C">
        <w:t>The information provided would be treated with confidence</w:t>
      </w:r>
      <w:r w:rsidR="001D34F4">
        <w:t>;</w:t>
      </w:r>
    </w:p>
    <w:p w14:paraId="319DE92F" w14:textId="77777777" w:rsidR="00162884" w:rsidRPr="0012257C" w:rsidRDefault="00162884" w:rsidP="00D53262">
      <w:pPr>
        <w:pStyle w:val="-bullet"/>
      </w:pPr>
      <w:r w:rsidRPr="0012257C">
        <w:t>This information and the responses in the questionnaire would be securely stored and would not be shared or utilised for any other purpose than which they had given consent</w:t>
      </w:r>
      <w:r w:rsidR="001D34F4">
        <w:t>;</w:t>
      </w:r>
    </w:p>
    <w:p w14:paraId="12078D10" w14:textId="77777777" w:rsidR="00162884" w:rsidRPr="0012257C" w:rsidRDefault="00162884" w:rsidP="00D53262">
      <w:pPr>
        <w:pStyle w:val="-bullet"/>
      </w:pPr>
      <w:r w:rsidRPr="0012257C">
        <w:t>The survey was designed to gather information on their health and wellbeing</w:t>
      </w:r>
      <w:r w:rsidR="001D34F4">
        <w:t>; and</w:t>
      </w:r>
    </w:p>
    <w:p w14:paraId="46BB623F" w14:textId="77777777" w:rsidR="00162884" w:rsidRPr="0012257C" w:rsidRDefault="00162884" w:rsidP="00D53262">
      <w:pPr>
        <w:pStyle w:val="-bullet"/>
      </w:pPr>
      <w:r w:rsidRPr="0012257C">
        <w:t>They did not have to answer all questions if they did not wish to</w:t>
      </w:r>
      <w:r w:rsidR="00FA588C">
        <w:t>.</w:t>
      </w:r>
    </w:p>
    <w:p w14:paraId="1DB4F703" w14:textId="77777777" w:rsidR="008207BA" w:rsidRDefault="00162884" w:rsidP="00AE785D">
      <w:pPr>
        <w:pStyle w:val="BodyText-parastyle"/>
      </w:pPr>
      <w:r w:rsidRPr="001E0709">
        <w:t>All data will be destroyed in a confidential way at the end of the cont</w:t>
      </w:r>
      <w:r w:rsidR="005B77C6">
        <w:t xml:space="preserve">ract with </w:t>
      </w:r>
      <w:r w:rsidR="00B57459">
        <w:t>ECC</w:t>
      </w:r>
      <w:r w:rsidR="005B77C6">
        <w:t xml:space="preserve">. </w:t>
      </w:r>
    </w:p>
    <w:p w14:paraId="4274E5B0" w14:textId="77777777" w:rsidR="00162884" w:rsidRPr="004C69A0" w:rsidRDefault="00162884" w:rsidP="00AE785D">
      <w:pPr>
        <w:pStyle w:val="BodyText-parastyle"/>
      </w:pPr>
      <w:r w:rsidRPr="00A86BBE">
        <w:rPr>
          <w:rStyle w:val="Strong"/>
        </w:rPr>
        <w:t>The process has been important in building provider awareness of th</w:t>
      </w:r>
      <w:r>
        <w:rPr>
          <w:rStyle w:val="Strong"/>
        </w:rPr>
        <w:t>e importance of complying with information governance</w:t>
      </w:r>
      <w:r w:rsidRPr="00A86BBE">
        <w:rPr>
          <w:rStyle w:val="Strong"/>
        </w:rPr>
        <w:t xml:space="preserve"> processes and the need to a</w:t>
      </w:r>
      <w:r w:rsidRPr="008E79F8">
        <w:rPr>
          <w:rStyle w:val="Strong"/>
        </w:rPr>
        <w:t xml:space="preserve">sk clients if they are willing to provide consent at the outset of the process, therefore reducing time/ cost required in asking for this at a later date. </w:t>
      </w:r>
    </w:p>
    <w:p w14:paraId="199C623D" w14:textId="77777777" w:rsidR="00CD1667" w:rsidRPr="00B93F02" w:rsidRDefault="00CD1667" w:rsidP="00CD1667">
      <w:pPr>
        <w:pStyle w:val="Heading2"/>
        <w:numPr>
          <w:ilvl w:val="1"/>
          <w:numId w:val="1"/>
        </w:numPr>
        <w:tabs>
          <w:tab w:val="clear" w:pos="3349"/>
          <w:tab w:val="num" w:pos="567"/>
        </w:tabs>
        <w:ind w:left="567" w:hanging="567"/>
      </w:pPr>
      <w:bookmarkStart w:id="36" w:name="_Toc482282284"/>
      <w:bookmarkStart w:id="37" w:name="_Toc497934267"/>
      <w:r w:rsidRPr="00B93F02">
        <w:t>Report Outline</w:t>
      </w:r>
      <w:bookmarkEnd w:id="36"/>
      <w:bookmarkEnd w:id="37"/>
    </w:p>
    <w:bookmarkEnd w:id="9"/>
    <w:bookmarkEnd w:id="10"/>
    <w:bookmarkEnd w:id="11"/>
    <w:p w14:paraId="1F7174B6" w14:textId="77777777" w:rsidR="008F21F0" w:rsidRPr="00916843" w:rsidRDefault="008F21F0" w:rsidP="00AE785D">
      <w:pPr>
        <w:pStyle w:val="BodyText-parastyle"/>
      </w:pPr>
      <w:r w:rsidRPr="00E8196B">
        <w:t xml:space="preserve">The following sections present the evidence collected during each stage of the </w:t>
      </w:r>
      <w:r w:rsidRPr="00916843">
        <w:t>methodology.  The remainder of the report is structured as follows:</w:t>
      </w:r>
    </w:p>
    <w:p w14:paraId="5E972695" w14:textId="77777777" w:rsidR="008F21F0" w:rsidRPr="00916843" w:rsidRDefault="008F21F0" w:rsidP="00D53262">
      <w:pPr>
        <w:pStyle w:val="ListParagraph"/>
      </w:pPr>
      <w:r w:rsidRPr="00916843">
        <w:t xml:space="preserve">Section 4 – </w:t>
      </w:r>
      <w:r w:rsidR="0012257C" w:rsidRPr="00916843">
        <w:t>Social Prescribing Models</w:t>
      </w:r>
    </w:p>
    <w:p w14:paraId="67B0125F" w14:textId="77777777" w:rsidR="00916843" w:rsidRPr="00916843" w:rsidRDefault="00916843" w:rsidP="00D53262">
      <w:pPr>
        <w:pStyle w:val="ListParagraph"/>
      </w:pPr>
      <w:r w:rsidRPr="00916843">
        <w:t xml:space="preserve">Section 5 – Indicators </w:t>
      </w:r>
    </w:p>
    <w:p w14:paraId="68BDA418" w14:textId="77777777" w:rsidR="008F21F0" w:rsidRPr="00916843" w:rsidRDefault="008F21F0" w:rsidP="00D53262">
      <w:pPr>
        <w:pStyle w:val="ListParagraph"/>
      </w:pPr>
      <w:r w:rsidRPr="00916843">
        <w:t xml:space="preserve">Section </w:t>
      </w:r>
      <w:r w:rsidR="00916843" w:rsidRPr="00916843">
        <w:t xml:space="preserve">6 </w:t>
      </w:r>
      <w:r w:rsidRPr="00916843">
        <w:t xml:space="preserve">– </w:t>
      </w:r>
      <w:r w:rsidR="0012257C" w:rsidRPr="00916843">
        <w:t xml:space="preserve">Performance </w:t>
      </w:r>
    </w:p>
    <w:p w14:paraId="4E4D27E6" w14:textId="77777777" w:rsidR="008F21F0" w:rsidRPr="00916843" w:rsidRDefault="008F21F0" w:rsidP="00D53262">
      <w:pPr>
        <w:pStyle w:val="ListParagraph"/>
      </w:pPr>
      <w:r w:rsidRPr="00916843">
        <w:t xml:space="preserve">Section </w:t>
      </w:r>
      <w:r w:rsidR="00916843" w:rsidRPr="00916843">
        <w:t>7</w:t>
      </w:r>
      <w:r w:rsidRPr="00916843">
        <w:t xml:space="preserve"> – </w:t>
      </w:r>
      <w:r w:rsidR="0012257C" w:rsidRPr="00916843">
        <w:t>Stakeholder Feedback</w:t>
      </w:r>
    </w:p>
    <w:p w14:paraId="01009413" w14:textId="77777777" w:rsidR="0012257C" w:rsidRPr="00916843" w:rsidRDefault="008F21F0" w:rsidP="00D53262">
      <w:pPr>
        <w:pStyle w:val="ListParagraph"/>
      </w:pPr>
      <w:r w:rsidRPr="00916843">
        <w:t xml:space="preserve">Section </w:t>
      </w:r>
      <w:r w:rsidR="00916843" w:rsidRPr="00916843">
        <w:t>8</w:t>
      </w:r>
      <w:r w:rsidRPr="00916843">
        <w:t xml:space="preserve"> – </w:t>
      </w:r>
      <w:r w:rsidR="0012257C" w:rsidRPr="00916843">
        <w:t xml:space="preserve">Costs / Cost Avoidance </w:t>
      </w:r>
      <w:r w:rsidR="00E270E1">
        <w:t xml:space="preserve">and Cost Effectiveness </w:t>
      </w:r>
    </w:p>
    <w:p w14:paraId="0E3D5780" w14:textId="77777777" w:rsidR="005B77C6" w:rsidRPr="00916843" w:rsidRDefault="0012257C" w:rsidP="00D53262">
      <w:pPr>
        <w:pStyle w:val="ListParagraph"/>
      </w:pPr>
      <w:r w:rsidRPr="00916843">
        <w:t xml:space="preserve">Section </w:t>
      </w:r>
      <w:r w:rsidR="00916843" w:rsidRPr="00916843">
        <w:t>9</w:t>
      </w:r>
      <w:r w:rsidRPr="00916843">
        <w:t xml:space="preserve"> – </w:t>
      </w:r>
      <w:r w:rsidR="005B77C6" w:rsidRPr="00916843">
        <w:t xml:space="preserve">Progress against Interim Recommendations </w:t>
      </w:r>
    </w:p>
    <w:p w14:paraId="62527EA0" w14:textId="77777777" w:rsidR="006C34B6" w:rsidRPr="00916843" w:rsidRDefault="005B77C6" w:rsidP="00D53262">
      <w:pPr>
        <w:pStyle w:val="ListParagraph"/>
      </w:pPr>
      <w:r w:rsidRPr="00916843">
        <w:t xml:space="preserve">Section </w:t>
      </w:r>
      <w:r w:rsidR="00916843" w:rsidRPr="00916843">
        <w:t>10</w:t>
      </w:r>
      <w:r w:rsidRPr="00916843">
        <w:t xml:space="preserve"> – </w:t>
      </w:r>
      <w:r w:rsidR="0012257C" w:rsidRPr="00916843">
        <w:t>Conclusions and Recommendations</w:t>
      </w:r>
    </w:p>
    <w:p w14:paraId="11D09D27" w14:textId="335D6B40" w:rsidR="005110B2" w:rsidRDefault="009363A2" w:rsidP="006C34B6">
      <w:pPr>
        <w:pStyle w:val="Heading1"/>
        <w:keepNext w:val="0"/>
        <w:keepLines w:val="0"/>
        <w:numPr>
          <w:ilvl w:val="0"/>
          <w:numId w:val="1"/>
        </w:numPr>
        <w:spacing w:before="240" w:line="288" w:lineRule="auto"/>
        <w:ind w:left="709" w:hanging="709"/>
      </w:pPr>
      <w:bookmarkStart w:id="38" w:name="_Toc497934268"/>
      <w:r>
        <w:lastRenderedPageBreak/>
        <w:t>Social Prescribing Models</w:t>
      </w:r>
      <w:bookmarkEnd w:id="38"/>
    </w:p>
    <w:p w14:paraId="0B2994DF" w14:textId="77777777" w:rsidR="009363A2" w:rsidRDefault="005110B2" w:rsidP="005110B2">
      <w:pPr>
        <w:pStyle w:val="Heading2"/>
      </w:pPr>
      <w:bookmarkStart w:id="39" w:name="_Toc497934269"/>
      <w:r>
        <w:t>Introduction</w:t>
      </w:r>
      <w:bookmarkEnd w:id="39"/>
      <w:r>
        <w:t xml:space="preserve"> </w:t>
      </w:r>
      <w:r w:rsidR="009363A2">
        <w:t xml:space="preserve"> </w:t>
      </w:r>
    </w:p>
    <w:p w14:paraId="5540EF39" w14:textId="77777777" w:rsidR="009363A2" w:rsidRDefault="009363A2" w:rsidP="00AE785D">
      <w:pPr>
        <w:pStyle w:val="BodyText-parastyle"/>
      </w:pPr>
      <w:r w:rsidRPr="009363A2">
        <w:t xml:space="preserve">The following section details the evidence base for Social Prescribing and the current models funded by </w:t>
      </w:r>
      <w:r w:rsidR="00B57459">
        <w:t>ECC</w:t>
      </w:r>
      <w:r w:rsidRPr="009363A2">
        <w:t>.</w:t>
      </w:r>
    </w:p>
    <w:p w14:paraId="37265119" w14:textId="4273639C" w:rsidR="003D54E4" w:rsidRDefault="003D54E4" w:rsidP="003D54E4">
      <w:pPr>
        <w:pStyle w:val="Heading2"/>
      </w:pPr>
      <w:bookmarkStart w:id="40" w:name="_Toc497934270"/>
      <w:r>
        <w:t>Essex Social Prescribing Models</w:t>
      </w:r>
      <w:bookmarkEnd w:id="40"/>
      <w:r>
        <w:t xml:space="preserve"> </w:t>
      </w:r>
    </w:p>
    <w:p w14:paraId="5401FB6E" w14:textId="77777777" w:rsidR="003D54E4" w:rsidRDefault="00B57459" w:rsidP="00AE785D">
      <w:pPr>
        <w:pStyle w:val="BodyText-parastyle"/>
      </w:pPr>
      <w:r>
        <w:t>ECC</w:t>
      </w:r>
      <w:r w:rsidR="003D54E4" w:rsidRPr="005F3981">
        <w:t xml:space="preserve"> funded s</w:t>
      </w:r>
      <w:r w:rsidR="00642514">
        <w:t>even</w:t>
      </w:r>
      <w:r w:rsidR="003D54E4" w:rsidRPr="005F3981">
        <w:t xml:space="preserve"> </w:t>
      </w:r>
      <w:r w:rsidR="00642514">
        <w:t xml:space="preserve">Social Prescribing </w:t>
      </w:r>
      <w:r w:rsidR="003D54E4" w:rsidRPr="005F3981">
        <w:t>pilots across Essex</w:t>
      </w:r>
      <w:r w:rsidR="003D54E4">
        <w:t xml:space="preserve"> and a summary</w:t>
      </w:r>
      <w:r w:rsidR="00642514">
        <w:t xml:space="preserve"> of each</w:t>
      </w:r>
      <w:r w:rsidR="003D54E4">
        <w:t xml:space="preserve"> is outlined below:</w:t>
      </w:r>
    </w:p>
    <w:p w14:paraId="6B179282" w14:textId="0E764E5B" w:rsidR="003D54E4" w:rsidRDefault="003D54E4" w:rsidP="00D53262">
      <w:pPr>
        <w:pStyle w:val="ListParagraph"/>
      </w:pPr>
      <w:r w:rsidRPr="003D54E4">
        <w:rPr>
          <w:color w:val="00B0F0"/>
        </w:rPr>
        <w:t>Basildon and Brentwood</w:t>
      </w:r>
      <w:r w:rsidRPr="005F3981">
        <w:rPr>
          <w:color w:val="1F497D" w:themeColor="text2"/>
        </w:rPr>
        <w:t xml:space="preserve"> </w:t>
      </w:r>
      <w:r>
        <w:t xml:space="preserve">- </w:t>
      </w:r>
      <w:r w:rsidR="00576BED" w:rsidRPr="00576BED">
        <w:t>The Basildon, Billericay and Wickford Council for Voluntary Service (BBWCVS) w</w:t>
      </w:r>
      <w:r w:rsidR="00E679A7">
        <w:t>as</w:t>
      </w:r>
      <w:r w:rsidR="00576BED" w:rsidRPr="00576BED">
        <w:t xml:space="preserve"> commissioned by Basildon and Brentwood CCG to pilot an 18-month scheme in GP hubs in Pitsea (four GP practices) and Laindon (two GP practices). The Tile House practice was later added in October 2016 to address the demands/needs of practices within Brentwood. These areas were selected as they had the highest deprivation levels. Individuals are referred by GPs, nurses, clinicians or social care professionals and then meet with a social prescribing navigator. A Personal Plan is developed and patients are signposted to local provision. </w:t>
      </w:r>
      <w:r w:rsidRPr="008F0E5F">
        <w:t>It is delivered by two full time Social Prescription Navigators; part-time admin support (0.5); and a part time project manager (0.4).</w:t>
      </w:r>
    </w:p>
    <w:p w14:paraId="025C867B" w14:textId="499E09C4" w:rsidR="003D54E4" w:rsidRDefault="003D54E4" w:rsidP="00D53262">
      <w:pPr>
        <w:pStyle w:val="ListParagraph"/>
      </w:pPr>
      <w:r w:rsidRPr="003D54E4">
        <w:rPr>
          <w:color w:val="00B0F0"/>
        </w:rPr>
        <w:t>Castle Point and Rochford</w:t>
      </w:r>
      <w:r w:rsidRPr="005F3981">
        <w:rPr>
          <w:color w:val="1F497D" w:themeColor="text2"/>
        </w:rPr>
        <w:t xml:space="preserve"> </w:t>
      </w:r>
      <w:r>
        <w:t xml:space="preserve">- </w:t>
      </w:r>
      <w:r w:rsidR="00576BED" w:rsidRPr="00576BED">
        <w:t>The Castle Point Association of Voluntary Services (CAVS) w</w:t>
      </w:r>
      <w:r w:rsidR="00E679A7">
        <w:t>as</w:t>
      </w:r>
      <w:r w:rsidR="00576BED" w:rsidRPr="00576BED">
        <w:t xml:space="preserve"> commissioned by Castle Point and Rochford CCG to pilot a 24-month scheme in 26 GP practices. Individuals who self-refer or are referred by a GP include patients risk stratified as vulnerable (via care coordination), frequent attenders, carers, and those that are socially isolated. They meet with a social prescribing navigator, a Personal Plan is developed and patients are then signposted to local provision. </w:t>
      </w:r>
      <w:r w:rsidRPr="008F0E5F">
        <w:t>It is delivered by 3-part time staff and 1 volunteer.</w:t>
      </w:r>
    </w:p>
    <w:p w14:paraId="5081446C" w14:textId="6266EABF" w:rsidR="00576BED" w:rsidRDefault="00EC54D3" w:rsidP="00D53262">
      <w:pPr>
        <w:pStyle w:val="ListParagraph"/>
      </w:pPr>
      <w:r w:rsidRPr="003D54E4">
        <w:rPr>
          <w:color w:val="00B0F0"/>
        </w:rPr>
        <w:t>Mid Essex</w:t>
      </w:r>
      <w:r w:rsidRPr="005F3981">
        <w:rPr>
          <w:color w:val="1F497D" w:themeColor="text2"/>
        </w:rPr>
        <w:t xml:space="preserve"> </w:t>
      </w:r>
      <w:r>
        <w:t xml:space="preserve">- </w:t>
      </w:r>
      <w:r w:rsidR="00576BED" w:rsidRPr="00576BED">
        <w:t>Chelmsford CVS w</w:t>
      </w:r>
      <w:r w:rsidR="00E679A7">
        <w:t>as</w:t>
      </w:r>
      <w:r w:rsidR="00576BED" w:rsidRPr="00576BED">
        <w:t xml:space="preserve"> </w:t>
      </w:r>
      <w:r w:rsidR="00E679A7">
        <w:t xml:space="preserve">commissioned </w:t>
      </w:r>
      <w:r w:rsidR="00576BED" w:rsidRPr="00576BED">
        <w:t xml:space="preserve">by Mid Essex CCG to implement a ‘whole population approach’ to Social Prescribing that operates at two levels: </w:t>
      </w:r>
    </w:p>
    <w:p w14:paraId="2716F762" w14:textId="530B5327" w:rsidR="00576BED" w:rsidRDefault="00EC54D3" w:rsidP="00D53262">
      <w:pPr>
        <w:pStyle w:val="-bullet"/>
      </w:pPr>
      <w:r>
        <w:t>Level 1: S</w:t>
      </w:r>
      <w:r w:rsidR="00E679A7">
        <w:t xml:space="preserve">ocial </w:t>
      </w:r>
      <w:r>
        <w:t>P</w:t>
      </w:r>
      <w:r w:rsidR="00E679A7">
        <w:t xml:space="preserve">rescribing </w:t>
      </w:r>
      <w:r>
        <w:t>C</w:t>
      </w:r>
      <w:r w:rsidR="00E679A7">
        <w:t>hampion</w:t>
      </w:r>
      <w:r>
        <w:t>s</w:t>
      </w:r>
      <w:r w:rsidRPr="005F3981">
        <w:t xml:space="preserve"> facilitate signposting across a number of local organisations; and </w:t>
      </w:r>
      <w:r w:rsidRPr="00EC54D3">
        <w:t xml:space="preserve">Level 2: A team of Social Prescribers manage higher level Social Prescribing interventions with more complex and vulnerable people. </w:t>
      </w:r>
    </w:p>
    <w:p w14:paraId="765F112C" w14:textId="4F6344D5" w:rsidR="00576BED" w:rsidRDefault="00EC54D3" w:rsidP="00D53262">
      <w:pPr>
        <w:pStyle w:val="-bullet"/>
      </w:pPr>
      <w:r w:rsidRPr="00EC54D3">
        <w:t>At level 2 once patients are referred by a SPC they</w:t>
      </w:r>
      <w:r w:rsidR="000C6A59">
        <w:t xml:space="preserve"> are entitled to a maximum of 6</w:t>
      </w:r>
      <w:r w:rsidRPr="00EC54D3">
        <w:t xml:space="preserve"> sessions with a </w:t>
      </w:r>
      <w:r w:rsidR="000C6A59">
        <w:t>Lifestyle Coach</w:t>
      </w:r>
      <w:r w:rsidRPr="00EC54D3">
        <w:t xml:space="preserve">, either face-to-face or via email or telephone, and are provided with assistance with issues such as increasing their self-esteem and becoming more self-sufficient. </w:t>
      </w:r>
      <w:r w:rsidR="000903C1">
        <w:t>This element is commissioned by Essex County Council through P</w:t>
      </w:r>
      <w:r w:rsidR="000C6A59">
        <w:t>ROVIDE</w:t>
      </w:r>
      <w:r w:rsidR="000903C1">
        <w:t xml:space="preserve">.  </w:t>
      </w:r>
    </w:p>
    <w:p w14:paraId="31679295" w14:textId="6BA8C3D6" w:rsidR="00EC54D3" w:rsidRDefault="00EC54D3" w:rsidP="00F938AF">
      <w:pPr>
        <w:pStyle w:val="BodyText-parastyle"/>
      </w:pPr>
      <w:r w:rsidRPr="00EC54D3">
        <w:lastRenderedPageBreak/>
        <w:t>It is delivered by one contracted Programme Manager</w:t>
      </w:r>
      <w:r w:rsidR="009924F2">
        <w:t>,</w:t>
      </w:r>
      <w:r w:rsidRPr="00EC54D3">
        <w:t xml:space="preserve"> trained SPCs</w:t>
      </w:r>
      <w:r w:rsidR="00E679A7">
        <w:t xml:space="preserve"> </w:t>
      </w:r>
      <w:r w:rsidR="009924F2">
        <w:t xml:space="preserve">and </w:t>
      </w:r>
      <w:r w:rsidR="000C6A59">
        <w:t>Lifestyle Coaches</w:t>
      </w:r>
      <w:r w:rsidR="00EE788C">
        <w:t xml:space="preserve"> </w:t>
      </w:r>
      <w:r w:rsidR="009924F2">
        <w:t xml:space="preserve">(equating to approx. 0.8). </w:t>
      </w:r>
    </w:p>
    <w:p w14:paraId="329FDCE6" w14:textId="7E5639E9" w:rsidR="003D54E4" w:rsidRDefault="003D54E4" w:rsidP="00D53262">
      <w:pPr>
        <w:pStyle w:val="ListParagraph"/>
      </w:pPr>
      <w:r w:rsidRPr="003D54E4">
        <w:rPr>
          <w:color w:val="00B0F0"/>
        </w:rPr>
        <w:t>North East Essex – Mental Health Hub Tendring</w:t>
      </w:r>
      <w:r w:rsidRPr="005F3981">
        <w:rPr>
          <w:color w:val="1F497D" w:themeColor="text2"/>
        </w:rPr>
        <w:t xml:space="preserve"> </w:t>
      </w:r>
      <w:r>
        <w:t xml:space="preserve">- </w:t>
      </w:r>
      <w:r w:rsidRPr="005F3981">
        <w:t>Tendring CAB w</w:t>
      </w:r>
      <w:r w:rsidR="000903C1">
        <w:t>as</w:t>
      </w:r>
      <w:r w:rsidRPr="005F3981">
        <w:t xml:space="preserve"> </w:t>
      </w:r>
      <w:r w:rsidR="000903C1">
        <w:t xml:space="preserve">funded </w:t>
      </w:r>
      <w:r w:rsidR="00C70808">
        <w:t>by Essex</w:t>
      </w:r>
      <w:r w:rsidR="000903C1">
        <w:t xml:space="preserve"> County Council</w:t>
      </w:r>
      <w:r w:rsidR="00E17E97">
        <w:t>,</w:t>
      </w:r>
      <w:r w:rsidR="000903C1">
        <w:t xml:space="preserve"> </w:t>
      </w:r>
      <w:r w:rsidR="00E17E97" w:rsidRPr="00E17E97">
        <w:t xml:space="preserve">North East Essex CCG, Office Police and Crime </w:t>
      </w:r>
      <w:r w:rsidR="000C6A59" w:rsidRPr="00E17E97">
        <w:t>Commissioner</w:t>
      </w:r>
      <w:r w:rsidR="00E17E97" w:rsidRPr="00E17E97">
        <w:t xml:space="preserve"> and Tendring District </w:t>
      </w:r>
      <w:r w:rsidR="00C70808" w:rsidRPr="00E17E97">
        <w:t>Council to</w:t>
      </w:r>
      <w:r w:rsidRPr="005F3981">
        <w:t xml:space="preserve"> operate a mental health hub </w:t>
      </w:r>
      <w:r>
        <w:t>that would offer</w:t>
      </w:r>
      <w:r w:rsidRPr="005F3981">
        <w:t xml:space="preserve"> a single point for referral (referrals from GPs, police, other parts of CAB, and other stakeholders in the community, as well as walk-ins). The process </w:t>
      </w:r>
      <w:r>
        <w:t xml:space="preserve">involves </w:t>
      </w:r>
      <w:r w:rsidRPr="005F3981">
        <w:t>a holistic assessment of the individual’s needs and they are then signposted to relevant services/supports.</w:t>
      </w:r>
      <w:r w:rsidR="009755E0">
        <w:t xml:space="preserve"> </w:t>
      </w:r>
      <w:r w:rsidRPr="005F3981">
        <w:t>It is delivered by 2.0 FTE Hub Assessors / Support Workers</w:t>
      </w:r>
      <w:r>
        <w:t>.</w:t>
      </w:r>
    </w:p>
    <w:p w14:paraId="39EA3096" w14:textId="0358BC16" w:rsidR="000C150B" w:rsidRDefault="003D54E4" w:rsidP="00D53262">
      <w:pPr>
        <w:pStyle w:val="ListParagraph"/>
      </w:pPr>
      <w:r w:rsidRPr="003D54E4">
        <w:rPr>
          <w:color w:val="00B0F0"/>
        </w:rPr>
        <w:t>North East Essex – Colchester</w:t>
      </w:r>
      <w:r w:rsidRPr="005F3981">
        <w:rPr>
          <w:color w:val="1F497D" w:themeColor="text2"/>
        </w:rPr>
        <w:t xml:space="preserve"> </w:t>
      </w:r>
      <w:r>
        <w:t xml:space="preserve">- </w:t>
      </w:r>
      <w:r w:rsidR="00EC54D3" w:rsidRPr="00EC54D3">
        <w:t xml:space="preserve">Colchester Community Voluntary Services (CCVS) </w:t>
      </w:r>
      <w:r w:rsidR="000C6A59" w:rsidRPr="00EC54D3">
        <w:t>w</w:t>
      </w:r>
      <w:r w:rsidR="000C6A59">
        <w:t xml:space="preserve">as </w:t>
      </w:r>
      <w:r w:rsidR="000C6A59" w:rsidRPr="00EC54D3">
        <w:t>funded</w:t>
      </w:r>
      <w:r w:rsidR="000903C1">
        <w:t xml:space="preserve"> </w:t>
      </w:r>
      <w:r w:rsidR="00EC54D3" w:rsidRPr="00EC54D3">
        <w:t xml:space="preserve">by </w:t>
      </w:r>
      <w:r w:rsidR="000903C1">
        <w:t xml:space="preserve">Essex County Council and </w:t>
      </w:r>
      <w:r w:rsidR="00EC54D3" w:rsidRPr="00EC54D3">
        <w:t>North East Essex CCG to implement a combined Community Builders and Social Prescribing model. The Social Prescribing model focuses on supporting people with long term health conditions and receives referrals from a number of sources including social workers, clinicians, carers/ family or self-referrals. There are two types of support provided:</w:t>
      </w:r>
    </w:p>
    <w:p w14:paraId="1DD06CA6" w14:textId="77777777" w:rsidR="00EC54D3" w:rsidRDefault="00EC54D3" w:rsidP="00D53262">
      <w:pPr>
        <w:pStyle w:val="-bullet"/>
      </w:pPr>
      <w:r>
        <w:t>Contacts – “quick win conversations” where the requirements are smaller / more focused and are often achieved at the outreach location (i.e. a direct referral on to a volunteer opportunity or a community group where a social prescriber is no longer needed to provide guidance).</w:t>
      </w:r>
    </w:p>
    <w:p w14:paraId="69516E53" w14:textId="77777777" w:rsidR="00EC54D3" w:rsidRDefault="00EC54D3" w:rsidP="00D53262">
      <w:pPr>
        <w:pStyle w:val="-bullet"/>
      </w:pPr>
      <w:r>
        <w:t xml:space="preserve">Detailed conversations – SPCs provide more intensive support and develop a set of options with our service users. Following a discussion with a social prescriber, recommendations are made to programmes, volunteers and resources and the service user is provided with contact details and further information. </w:t>
      </w:r>
    </w:p>
    <w:p w14:paraId="586DC055" w14:textId="74025438" w:rsidR="000C150B" w:rsidRDefault="000C150B" w:rsidP="00234FBE">
      <w:pPr>
        <w:pStyle w:val="BodyText-parastyle"/>
        <w:ind w:left="357"/>
      </w:pPr>
      <w:r w:rsidRPr="005F3981">
        <w:t>It is delivered by 2.5 FTE staff and over approx. 12 volunteers</w:t>
      </w:r>
      <w:r>
        <w:t>.</w:t>
      </w:r>
    </w:p>
    <w:p w14:paraId="76868CC9" w14:textId="7E344BB0" w:rsidR="003D54E4" w:rsidRDefault="003D54E4" w:rsidP="00D53262">
      <w:pPr>
        <w:pStyle w:val="ListParagraph"/>
      </w:pPr>
      <w:r w:rsidRPr="003D54E4">
        <w:rPr>
          <w:color w:val="00B0F0"/>
        </w:rPr>
        <w:t>West Essex</w:t>
      </w:r>
      <w:r w:rsidRPr="005F3981">
        <w:rPr>
          <w:color w:val="1F497D" w:themeColor="text2"/>
        </w:rPr>
        <w:t xml:space="preserve"> </w:t>
      </w:r>
      <w:r>
        <w:t xml:space="preserve">- </w:t>
      </w:r>
      <w:r w:rsidR="00576BED" w:rsidRPr="00576BED">
        <w:t>Age UK Essex w</w:t>
      </w:r>
      <w:r w:rsidR="000903C1">
        <w:t>as</w:t>
      </w:r>
      <w:r w:rsidR="00576BED" w:rsidRPr="00576BED">
        <w:t xml:space="preserve"> commissioned by West Essex CCG to deliver a Social Prescribing project focused on high intensity users of primary, secondary and/or social care services. It covers four GP practices across West Essex and is based on the Age UK model in Cornwall. A Personal Independence Coordinator (PIC) receives referrals from doctors, nurses, receptionists, and community staff. Following referral, the PIC will have a ‘clinic’ or home visit with the individual, services that already exist locally will then form part of the ‘wrap around’ and be tailored to the specific needs of an individual. Those who require more intensive support will participate in a ‘guided conversation’ to identify their goals and they will then be matched with a Personal Independence Planner (PIP) (volunteer) to supp</w:t>
      </w:r>
      <w:r w:rsidR="00576BED">
        <w:t>ort them to achieve these goals</w:t>
      </w:r>
      <w:r w:rsidRPr="005F3981">
        <w:t xml:space="preserve">. It is delivered by one full-time </w:t>
      </w:r>
      <w:r>
        <w:t xml:space="preserve">PIC </w:t>
      </w:r>
      <w:r w:rsidRPr="005F3981">
        <w:t>and 5 volunteers.</w:t>
      </w:r>
    </w:p>
    <w:p w14:paraId="22D3F8FA" w14:textId="01C694B7" w:rsidR="003D54E4" w:rsidRDefault="003D54E4" w:rsidP="00D53262">
      <w:pPr>
        <w:pStyle w:val="ListParagraph"/>
      </w:pPr>
      <w:r w:rsidRPr="003D54E4">
        <w:rPr>
          <w:color w:val="00B0F0"/>
        </w:rPr>
        <w:t xml:space="preserve">Southend-On-Sea </w:t>
      </w:r>
      <w:r>
        <w:t xml:space="preserve">- </w:t>
      </w:r>
      <w:r w:rsidR="00576BED" w:rsidRPr="00576BED">
        <w:t>Southend Association of Voluntary Services w</w:t>
      </w:r>
      <w:r w:rsidR="000903C1">
        <w:t xml:space="preserve">as funded by Essex County Council with Transformation Challenge monies and Southend Public Health </w:t>
      </w:r>
      <w:r w:rsidR="00576BED" w:rsidRPr="00576BED">
        <w:t xml:space="preserve">to deliver a Social Prescribing model that focused on patients with specific </w:t>
      </w:r>
      <w:r w:rsidR="00C70808" w:rsidRPr="00576BED">
        <w:t>long-term</w:t>
      </w:r>
      <w:r w:rsidR="00576BED" w:rsidRPr="00576BED">
        <w:t xml:space="preserve"> conditions and was linked to an existing piece of work delivered by Public Health – PAM </w:t>
      </w:r>
      <w:r w:rsidR="00576BED" w:rsidRPr="00576BED">
        <w:lastRenderedPageBreak/>
        <w:t xml:space="preserve">(Patient Activation Measures). Patients identified through the PAM met the Social Prescriber to explore their desired outcomes and a personal plan was agreed. Patients were supported and followed up as required to enable them to access these and further services as necessary. Alongside the prescriptions were Quality Awards to develop the quality and capacity of the VCS and a tariff pot to pay for some prescriptions. </w:t>
      </w:r>
      <w:r w:rsidRPr="005F3981">
        <w:t>It was delivered by one Social Prescribing coordinator.</w:t>
      </w:r>
    </w:p>
    <w:p w14:paraId="39034F56" w14:textId="5DE99760" w:rsidR="003D54E4" w:rsidRDefault="003D54E4" w:rsidP="00AE785D">
      <w:pPr>
        <w:pStyle w:val="BodyText-parastyle"/>
      </w:pPr>
      <w:r>
        <w:t>T</w:t>
      </w:r>
      <w:r w:rsidR="00576BED">
        <w:t>herefore</w:t>
      </w:r>
      <w:r>
        <w:t xml:space="preserve"> it is evident that </w:t>
      </w:r>
      <w:r w:rsidR="00576BED">
        <w:t>a number of different models were funded</w:t>
      </w:r>
      <w:r>
        <w:t xml:space="preserve"> however as this was a pilot programme it provide</w:t>
      </w:r>
      <w:r w:rsidR="00576BED">
        <w:t>d</w:t>
      </w:r>
      <w:r>
        <w:t xml:space="preserve"> an opportunity to try new ways of working and identify any lessons learned. </w:t>
      </w:r>
      <w:r w:rsidRPr="003D54E4">
        <w:t xml:space="preserve">The main differences between the Essex Social Prescribing models are outlined in </w:t>
      </w:r>
      <w:r w:rsidR="00576BED">
        <w:t>section 4.2.1.</w:t>
      </w:r>
    </w:p>
    <w:p w14:paraId="4F0758C7" w14:textId="77777777" w:rsidR="003D54E4" w:rsidRDefault="003D54E4" w:rsidP="00D465F1">
      <w:pPr>
        <w:pStyle w:val="Heading3"/>
      </w:pPr>
      <w:r>
        <w:t>Differences in the Social Prescribing Models</w:t>
      </w:r>
    </w:p>
    <w:p w14:paraId="67E5AF85" w14:textId="77777777" w:rsidR="003D54E4" w:rsidRDefault="003D54E4" w:rsidP="00AE785D">
      <w:pPr>
        <w:pStyle w:val="BodyText-parastyle"/>
      </w:pPr>
      <w:r w:rsidRPr="003D54E4">
        <w:t>The models funded through the pilot differ with regard to target groups, referral pathways, the type and format of support provided and the resources used.</w:t>
      </w:r>
    </w:p>
    <w:p w14:paraId="718B6A5D" w14:textId="77777777" w:rsidR="003D54E4" w:rsidRDefault="003D54E4"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4</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w:t>
      </w:r>
      <w:r w:rsidR="00603E87">
        <w:fldChar w:fldCharType="end"/>
      </w:r>
      <w:r>
        <w:t xml:space="preserve">: </w:t>
      </w:r>
      <w:r w:rsidRPr="003D54E4">
        <w:t>How the Social Prescribing Models Differ</w:t>
      </w:r>
    </w:p>
    <w:tbl>
      <w:tblPr>
        <w:tblStyle w:val="ForfasTableGrid1"/>
        <w:tblW w:w="0" w:type="auto"/>
        <w:tblLook w:val="04A0" w:firstRow="1" w:lastRow="0" w:firstColumn="1" w:lastColumn="0" w:noHBand="0" w:noVBand="1"/>
      </w:tblPr>
      <w:tblGrid>
        <w:gridCol w:w="1678"/>
        <w:gridCol w:w="8055"/>
      </w:tblGrid>
      <w:tr w:rsidR="003D54E4" w14:paraId="0C9BBC6B" w14:textId="77777777" w:rsidTr="005110B2">
        <w:trPr>
          <w:cnfStyle w:val="100000000000" w:firstRow="1" w:lastRow="0" w:firstColumn="0" w:lastColumn="0" w:oddVBand="0" w:evenVBand="0" w:oddHBand="0" w:evenHBand="0" w:firstRowFirstColumn="0" w:firstRowLastColumn="0" w:lastRowFirstColumn="0" w:lastRowLastColumn="0"/>
          <w:tblHeader/>
        </w:trPr>
        <w:tc>
          <w:tcPr>
            <w:tcW w:w="1678" w:type="dxa"/>
          </w:tcPr>
          <w:p w14:paraId="0C7C64F4" w14:textId="77777777" w:rsidR="003D54E4" w:rsidRDefault="003D54E4" w:rsidP="003D54E4">
            <w:pPr>
              <w:pStyle w:val="TableHeading"/>
            </w:pPr>
            <w:r>
              <w:t>How they differ</w:t>
            </w:r>
          </w:p>
        </w:tc>
        <w:tc>
          <w:tcPr>
            <w:tcW w:w="8055" w:type="dxa"/>
          </w:tcPr>
          <w:p w14:paraId="1B399F2A" w14:textId="77777777" w:rsidR="003D54E4" w:rsidRDefault="003D54E4" w:rsidP="003D54E4">
            <w:pPr>
              <w:pStyle w:val="TableHeading"/>
            </w:pPr>
            <w:r>
              <w:t xml:space="preserve">Summary </w:t>
            </w:r>
          </w:p>
        </w:tc>
      </w:tr>
      <w:tr w:rsidR="003D54E4" w14:paraId="485C68B7" w14:textId="77777777" w:rsidTr="003D54E4">
        <w:trPr>
          <w:cnfStyle w:val="000000100000" w:firstRow="0" w:lastRow="0" w:firstColumn="0" w:lastColumn="0" w:oddVBand="0" w:evenVBand="0" w:oddHBand="1" w:evenHBand="0" w:firstRowFirstColumn="0" w:firstRowLastColumn="0" w:lastRowFirstColumn="0" w:lastRowLastColumn="0"/>
        </w:trPr>
        <w:tc>
          <w:tcPr>
            <w:tcW w:w="1678" w:type="dxa"/>
          </w:tcPr>
          <w:p w14:paraId="4D980426" w14:textId="77777777" w:rsidR="003D54E4" w:rsidRDefault="003D54E4" w:rsidP="003D54E4">
            <w:pPr>
              <w:pStyle w:val="TableParagraph"/>
            </w:pPr>
            <w:r>
              <w:t>Target Group</w:t>
            </w:r>
          </w:p>
        </w:tc>
        <w:tc>
          <w:tcPr>
            <w:tcW w:w="8055" w:type="dxa"/>
          </w:tcPr>
          <w:p w14:paraId="5BE4173F" w14:textId="77777777" w:rsidR="003D54E4" w:rsidRDefault="003D54E4" w:rsidP="003D54E4">
            <w:pPr>
              <w:pStyle w:val="TableParagraph"/>
            </w:pPr>
            <w:r>
              <w:t xml:space="preserve"> The models target different groups: </w:t>
            </w:r>
          </w:p>
          <w:p w14:paraId="585CA5E0" w14:textId="77777777" w:rsidR="003D54E4" w:rsidRPr="007E0282" w:rsidRDefault="003D54E4" w:rsidP="003D54E4">
            <w:pPr>
              <w:pStyle w:val="Tablebullet"/>
            </w:pPr>
            <w:r w:rsidRPr="007E0282">
              <w:rPr>
                <w:b/>
              </w:rPr>
              <w:t>Open to all ages / any conditions:</w:t>
            </w:r>
            <w:r>
              <w:t xml:space="preserve"> for example, a</w:t>
            </w:r>
            <w:r w:rsidRPr="00027375">
              <w:t xml:space="preserve">nyone living in Mid Essex can access Connect Well and be signposted to community providers.  Currently this is via a </w:t>
            </w:r>
            <w:r w:rsidR="00426E1D">
              <w:t>SPC</w:t>
            </w:r>
            <w:r w:rsidRPr="00027375">
              <w:t xml:space="preserve"> or Social Prescriber based on their potential need and how the community service could improve their health and well-being, and potentially reduce their use of statutory services.</w:t>
            </w:r>
          </w:p>
          <w:p w14:paraId="755461FB" w14:textId="25AA5D81" w:rsidR="003D54E4" w:rsidRDefault="003D54E4" w:rsidP="003D54E4">
            <w:pPr>
              <w:pStyle w:val="Tablebullet"/>
            </w:pPr>
            <w:r w:rsidRPr="004E62E0">
              <w:rPr>
                <w:b/>
              </w:rPr>
              <w:t>Open to all ages with a focus on specific conditions:</w:t>
            </w:r>
            <w:r>
              <w:t xml:space="preserve"> models such as Basildon and Brentwood are available to all aged 18+ however with a focus on those</w:t>
            </w:r>
            <w:r w:rsidRPr="00201B1E">
              <w:t xml:space="preserve"> with highest need</w:t>
            </w:r>
            <w:r>
              <w:t xml:space="preserve">, or Castle Point and Rochford which focus on those that are risk </w:t>
            </w:r>
            <w:r w:rsidRPr="003D54E4">
              <w:rPr>
                <w:rStyle w:val="TablebulletChar"/>
              </w:rPr>
              <w:t xml:space="preserve">stratified as i) vulnerable/frail ii) </w:t>
            </w:r>
            <w:r w:rsidR="00C70808" w:rsidRPr="003D54E4">
              <w:rPr>
                <w:rStyle w:val="TablebulletChar"/>
              </w:rPr>
              <w:t>pre-frail</w:t>
            </w:r>
            <w:r w:rsidRPr="003D54E4">
              <w:rPr>
                <w:rStyle w:val="TablebulletChar"/>
              </w:rPr>
              <w:t xml:space="preserve"> and at risk of deterioration and </w:t>
            </w:r>
            <w:r w:rsidR="003F0282">
              <w:rPr>
                <w:rStyle w:val="TablebulletChar"/>
              </w:rPr>
              <w:t xml:space="preserve">/ or </w:t>
            </w:r>
            <w:r w:rsidRPr="003D54E4">
              <w:rPr>
                <w:rStyle w:val="TablebulletChar"/>
              </w:rPr>
              <w:t>are frequent attenders at GP practices with no identified medical need.  Some projects such as the Tendring Mental Health Hub have a very specific target group (those with mental ill health). In West Essex GPs across the four practices use the same risk profiling tool to identify the top 2% of patients (high intensity users who</w:t>
            </w:r>
            <w:r w:rsidRPr="00027375">
              <w:t xml:space="preserve"> could be best case managed in community)</w:t>
            </w:r>
            <w:r w:rsidR="00EA5623">
              <w:t>.</w:t>
            </w:r>
            <w:r w:rsidR="009F3F52">
              <w:t xml:space="preserve"> </w:t>
            </w:r>
            <w:r w:rsidR="003F0282">
              <w:t>The North East Essex (My Social Prescription) focused on those with specific conditions like diabetes or chronic kidney disease</w:t>
            </w:r>
          </w:p>
          <w:p w14:paraId="413FD1B2" w14:textId="77777777" w:rsidR="003D54E4" w:rsidRDefault="003D54E4" w:rsidP="003F0282">
            <w:pPr>
              <w:pStyle w:val="Tablebullet"/>
            </w:pPr>
            <w:r>
              <w:rPr>
                <w:b/>
              </w:rPr>
              <w:t>Focus on people with long term or chronic conditions:</w:t>
            </w:r>
            <w:r>
              <w:t xml:space="preserve"> models such as </w:t>
            </w:r>
            <w:r w:rsidRPr="007E0282">
              <w:t>Southend-On-Sea</w:t>
            </w:r>
            <w:r w:rsidR="008207BA">
              <w:t>.</w:t>
            </w:r>
          </w:p>
        </w:tc>
      </w:tr>
      <w:tr w:rsidR="003D54E4" w14:paraId="48EDFCE7" w14:textId="77777777" w:rsidTr="003D54E4">
        <w:trPr>
          <w:cnfStyle w:val="000000010000" w:firstRow="0" w:lastRow="0" w:firstColumn="0" w:lastColumn="0" w:oddVBand="0" w:evenVBand="0" w:oddHBand="0" w:evenHBand="1" w:firstRowFirstColumn="0" w:firstRowLastColumn="0" w:lastRowFirstColumn="0" w:lastRowLastColumn="0"/>
        </w:trPr>
        <w:tc>
          <w:tcPr>
            <w:tcW w:w="1678" w:type="dxa"/>
          </w:tcPr>
          <w:p w14:paraId="1C2A0029" w14:textId="77777777" w:rsidR="003D54E4" w:rsidRDefault="003D54E4" w:rsidP="003D54E4">
            <w:pPr>
              <w:pStyle w:val="TableParagraph"/>
            </w:pPr>
            <w:r>
              <w:t xml:space="preserve">Referrals </w:t>
            </w:r>
            <w:r w:rsidR="00C53B46">
              <w:t>In</w:t>
            </w:r>
          </w:p>
        </w:tc>
        <w:tc>
          <w:tcPr>
            <w:tcW w:w="8055" w:type="dxa"/>
          </w:tcPr>
          <w:p w14:paraId="1254E9E8" w14:textId="77777777" w:rsidR="003D54E4" w:rsidRDefault="003D54E4" w:rsidP="003D54E4">
            <w:pPr>
              <w:pStyle w:val="TableParagraph"/>
            </w:pPr>
            <w:r>
              <w:t xml:space="preserve">Each of the models accept referrals from GPs / primary care providers (e.g. </w:t>
            </w:r>
            <w:r w:rsidRPr="00AF21BD">
              <w:t>nurses, clinicians, social care</w:t>
            </w:r>
            <w:r>
              <w:t xml:space="preserve">) however in addition some also accept: </w:t>
            </w:r>
          </w:p>
          <w:p w14:paraId="5E9E27EB" w14:textId="77777777" w:rsidR="003D54E4" w:rsidRDefault="003D54E4" w:rsidP="003D54E4">
            <w:pPr>
              <w:pStyle w:val="Tablebullet"/>
            </w:pPr>
            <w:r>
              <w:t xml:space="preserve">self-referral or point of access (Castle Point and Rochford / North East Essex </w:t>
            </w:r>
            <w:r w:rsidR="005B77C6">
              <w:t xml:space="preserve">(My Social Prescription) </w:t>
            </w:r>
            <w:r>
              <w:t>and it is antic</w:t>
            </w:r>
            <w:r w:rsidRPr="003D54E4">
              <w:rPr>
                <w:rStyle w:val="TablebulletChar"/>
              </w:rPr>
              <w:t>i</w:t>
            </w:r>
            <w:r>
              <w:t xml:space="preserve">pated that in Mid Essex the Connect Well referral route will be developed further to </w:t>
            </w:r>
            <w:r w:rsidRPr="00344C1D">
              <w:rPr>
                <w:lang w:val="en-US"/>
              </w:rPr>
              <w:t xml:space="preserve">accommodate self-referrals in </w:t>
            </w:r>
            <w:r w:rsidR="005B77C6">
              <w:rPr>
                <w:lang w:val="en-US"/>
              </w:rPr>
              <w:t>summer 2017</w:t>
            </w:r>
            <w:r>
              <w:t>)</w:t>
            </w:r>
          </w:p>
          <w:p w14:paraId="746E5CE0" w14:textId="77777777" w:rsidR="003D54E4" w:rsidRDefault="003D54E4" w:rsidP="003F0282">
            <w:pPr>
              <w:pStyle w:val="Tablebullet"/>
            </w:pPr>
            <w:r>
              <w:lastRenderedPageBreak/>
              <w:t xml:space="preserve">referrals from other community organisations such as police or </w:t>
            </w:r>
            <w:r w:rsidR="00214915">
              <w:t>CAB</w:t>
            </w:r>
            <w:r>
              <w:t xml:space="preserve"> (North East Essex – Tendring</w:t>
            </w:r>
            <w:r w:rsidR="003F0282">
              <w:t>/</w:t>
            </w:r>
            <w:r w:rsidR="00BC314B">
              <w:t xml:space="preserve"> Castle Point an</w:t>
            </w:r>
            <w:r w:rsidR="003C201A">
              <w:t>d</w:t>
            </w:r>
            <w:r w:rsidR="00BC314B">
              <w:t xml:space="preserve"> Rochford</w:t>
            </w:r>
            <w:r>
              <w:t>)</w:t>
            </w:r>
          </w:p>
        </w:tc>
      </w:tr>
      <w:tr w:rsidR="00C53B46" w14:paraId="60C8D198" w14:textId="77777777" w:rsidTr="003D54E4">
        <w:trPr>
          <w:cnfStyle w:val="000000100000" w:firstRow="0" w:lastRow="0" w:firstColumn="0" w:lastColumn="0" w:oddVBand="0" w:evenVBand="0" w:oddHBand="1" w:evenHBand="0" w:firstRowFirstColumn="0" w:firstRowLastColumn="0" w:lastRowFirstColumn="0" w:lastRowLastColumn="0"/>
        </w:trPr>
        <w:tc>
          <w:tcPr>
            <w:tcW w:w="1678" w:type="dxa"/>
          </w:tcPr>
          <w:p w14:paraId="6D0C09C0" w14:textId="77777777" w:rsidR="00C53B46" w:rsidRDefault="00C53B46" w:rsidP="003D54E4">
            <w:pPr>
              <w:pStyle w:val="TableParagraph"/>
            </w:pPr>
            <w:r>
              <w:lastRenderedPageBreak/>
              <w:t>Referrals Out</w:t>
            </w:r>
          </w:p>
        </w:tc>
        <w:tc>
          <w:tcPr>
            <w:tcW w:w="8055" w:type="dxa"/>
          </w:tcPr>
          <w:p w14:paraId="01DEF0CE" w14:textId="77777777" w:rsidR="00C53B46" w:rsidRDefault="00C53B46" w:rsidP="00974234">
            <w:pPr>
              <w:pStyle w:val="TableParagraph"/>
            </w:pPr>
            <w:r>
              <w:t xml:space="preserve">Each of the models have made a number of onward referrals to a </w:t>
            </w:r>
            <w:r w:rsidR="00CA65A5">
              <w:t xml:space="preserve">broad </w:t>
            </w:r>
            <w:r>
              <w:t>range of services and organisations</w:t>
            </w:r>
            <w:r w:rsidR="00CA65A5">
              <w:t xml:space="preserve"> that included both </w:t>
            </w:r>
            <w:r w:rsidR="00080576">
              <w:t xml:space="preserve">public sector services as well as the third sector. </w:t>
            </w:r>
            <w:r w:rsidR="0028335A">
              <w:t xml:space="preserve">Common services referred to across a number of projects included third groups / clubs / leisure activities; community transport; carers services and befriending. Other services which received high onward referrals by specific projects were volunteering (My Social Prescription); Single Point of Access (for OT, falls team and dietician etc.) and </w:t>
            </w:r>
            <w:r w:rsidR="0028335A" w:rsidRPr="0028335A">
              <w:t>adult social care</w:t>
            </w:r>
            <w:r w:rsidR="0028335A">
              <w:t xml:space="preserve"> (Smart Life); and housing / financial advice (Basildon and Brentwood Social Prescribing project). The range of services </w:t>
            </w:r>
            <w:r w:rsidR="00974234">
              <w:t xml:space="preserve">that </w:t>
            </w:r>
            <w:r w:rsidR="0028335A">
              <w:t xml:space="preserve">received onward referrals indicates the breadth of needs identified and in some cases those referred out were referred to more than one service.  </w:t>
            </w:r>
          </w:p>
        </w:tc>
      </w:tr>
      <w:tr w:rsidR="00C74E24" w14:paraId="6E4EF819" w14:textId="77777777" w:rsidTr="003D54E4">
        <w:trPr>
          <w:cnfStyle w:val="000000010000" w:firstRow="0" w:lastRow="0" w:firstColumn="0" w:lastColumn="0" w:oddVBand="0" w:evenVBand="0" w:oddHBand="0" w:evenHBand="1" w:firstRowFirstColumn="0" w:firstRowLastColumn="0" w:lastRowFirstColumn="0" w:lastRowLastColumn="0"/>
        </w:trPr>
        <w:tc>
          <w:tcPr>
            <w:tcW w:w="1678" w:type="dxa"/>
          </w:tcPr>
          <w:p w14:paraId="131DAE5B" w14:textId="77777777" w:rsidR="00C74E24" w:rsidRDefault="00C74E24" w:rsidP="00C74E24">
            <w:pPr>
              <w:pStyle w:val="TableParagraph"/>
            </w:pPr>
            <w:r>
              <w:t xml:space="preserve">The type of model delivery </w:t>
            </w:r>
          </w:p>
        </w:tc>
        <w:tc>
          <w:tcPr>
            <w:tcW w:w="8055" w:type="dxa"/>
          </w:tcPr>
          <w:p w14:paraId="74B6A662" w14:textId="77777777" w:rsidR="00594BB2" w:rsidRDefault="007465C5" w:rsidP="00C74E24">
            <w:pPr>
              <w:pStyle w:val="TableParagraph"/>
            </w:pPr>
            <w:r>
              <w:t xml:space="preserve">The </w:t>
            </w:r>
            <w:r w:rsidRPr="007465C5">
              <w:t xml:space="preserve">Social Prescribing models </w:t>
            </w:r>
            <w:r w:rsidR="00594BB2">
              <w:t>involved the following approaches:</w:t>
            </w:r>
          </w:p>
          <w:p w14:paraId="1E19E8D4" w14:textId="77777777" w:rsidR="00594BB2" w:rsidRDefault="00594BB2" w:rsidP="00594BB2">
            <w:pPr>
              <w:pStyle w:val="Tablebullet"/>
            </w:pPr>
            <w:r>
              <w:t>based</w:t>
            </w:r>
            <w:r w:rsidR="007465C5" w:rsidRPr="007465C5">
              <w:t xml:space="preserve"> in a healthcare setting (e.g. where referrals are primarily made by healthcare staff or where a link worker or navigator in based in a primary care setting. </w:t>
            </w:r>
          </w:p>
          <w:p w14:paraId="6305BDCB" w14:textId="77777777" w:rsidR="00C74E24" w:rsidRDefault="007465C5" w:rsidP="009F3F52">
            <w:pPr>
              <w:pStyle w:val="Tablebullet"/>
            </w:pPr>
            <w:r w:rsidRPr="007465C5">
              <w:t>based in a community setting and where referrals are made from the wider system and can involve training staff within organisations to be ‘Social Prescribing Champions’ (SPCs) and make referrals.</w:t>
            </w:r>
          </w:p>
        </w:tc>
      </w:tr>
      <w:tr w:rsidR="003D54E4" w14:paraId="067D7FBF" w14:textId="77777777" w:rsidTr="003D54E4">
        <w:trPr>
          <w:cnfStyle w:val="000000100000" w:firstRow="0" w:lastRow="0" w:firstColumn="0" w:lastColumn="0" w:oddVBand="0" w:evenVBand="0" w:oddHBand="1" w:evenHBand="0" w:firstRowFirstColumn="0" w:firstRowLastColumn="0" w:lastRowFirstColumn="0" w:lastRowLastColumn="0"/>
        </w:trPr>
        <w:tc>
          <w:tcPr>
            <w:tcW w:w="1678" w:type="dxa"/>
          </w:tcPr>
          <w:p w14:paraId="6690D1BD" w14:textId="77777777" w:rsidR="003D54E4" w:rsidRDefault="003D54E4" w:rsidP="003D54E4">
            <w:pPr>
              <w:pStyle w:val="TableParagraph"/>
            </w:pPr>
            <w:r>
              <w:t xml:space="preserve">The type of support provided </w:t>
            </w:r>
          </w:p>
        </w:tc>
        <w:tc>
          <w:tcPr>
            <w:tcW w:w="8055" w:type="dxa"/>
          </w:tcPr>
          <w:p w14:paraId="5CCB26D6" w14:textId="77777777" w:rsidR="003D54E4" w:rsidRDefault="003D54E4" w:rsidP="003D54E4">
            <w:pPr>
              <w:pStyle w:val="TableParagraph"/>
            </w:pPr>
            <w:r>
              <w:t>The type of support provided varies across the models and includes:</w:t>
            </w:r>
          </w:p>
          <w:p w14:paraId="789DBE26" w14:textId="77777777" w:rsidR="003D54E4" w:rsidRDefault="003D54E4" w:rsidP="003D54E4">
            <w:pPr>
              <w:pStyle w:val="Tablebullet"/>
            </w:pPr>
            <w:r>
              <w:t xml:space="preserve">Meeting with a Social Prescribing Navigator who undertakes a </w:t>
            </w:r>
            <w:r w:rsidRPr="00201B1E">
              <w:t xml:space="preserve">one to </w:t>
            </w:r>
            <w:r>
              <w:t>one holistic patient assessment, develops a Personal Action Plan and signposts to local provision (Basildon and Brentwood and Castle Point and Rochford)</w:t>
            </w:r>
          </w:p>
          <w:p w14:paraId="5694B2E9" w14:textId="77777777" w:rsidR="003D54E4" w:rsidRDefault="003D54E4" w:rsidP="003D54E4">
            <w:pPr>
              <w:pStyle w:val="Tablebullet"/>
            </w:pPr>
            <w:r>
              <w:t>Two levels of Social Prescribing (lower level and higher level / more intensive support) based on the needs of the patient / service user</w:t>
            </w:r>
          </w:p>
          <w:p w14:paraId="21A07F45" w14:textId="77777777" w:rsidR="003D54E4" w:rsidRDefault="003D54E4" w:rsidP="005B77C6">
            <w:pPr>
              <w:pStyle w:val="Tablebullet"/>
              <w:numPr>
                <w:ilvl w:val="1"/>
                <w:numId w:val="8"/>
              </w:numPr>
            </w:pPr>
            <w:r>
              <w:t xml:space="preserve">Lower level – this includes access to information / signposting (i.e. </w:t>
            </w:r>
            <w:r w:rsidR="007E11DC">
              <w:t>Mid</w:t>
            </w:r>
            <w:r w:rsidR="00540D55">
              <w:t xml:space="preserve"> Essex /</w:t>
            </w:r>
            <w:r w:rsidR="007E11DC">
              <w:t xml:space="preserve"> </w:t>
            </w:r>
            <w:r>
              <w:t>North East Essex</w:t>
            </w:r>
            <w:r w:rsidR="00895F19">
              <w:t>)</w:t>
            </w:r>
          </w:p>
          <w:p w14:paraId="253F3FC0" w14:textId="77777777" w:rsidR="003D54E4" w:rsidRDefault="003D54E4" w:rsidP="003D54E4">
            <w:pPr>
              <w:pStyle w:val="Tablebullet"/>
              <w:numPr>
                <w:ilvl w:val="1"/>
                <w:numId w:val="8"/>
              </w:numPr>
            </w:pPr>
            <w:r>
              <w:t>Higher level - one to one support over a longer period of time</w:t>
            </w:r>
            <w:r w:rsidR="00540D55">
              <w:t xml:space="preserve"> (i.e. Basildon and Brentwood / </w:t>
            </w:r>
            <w:r w:rsidR="007E11DC">
              <w:t>West</w:t>
            </w:r>
            <w:r w:rsidR="00540D55">
              <w:t xml:space="preserve"> Essex and</w:t>
            </w:r>
            <w:r w:rsidR="007E11DC">
              <w:t xml:space="preserve"> Southend)</w:t>
            </w:r>
          </w:p>
        </w:tc>
      </w:tr>
      <w:tr w:rsidR="003D54E4" w14:paraId="65E8D05A" w14:textId="77777777" w:rsidTr="003D54E4">
        <w:trPr>
          <w:cnfStyle w:val="000000010000" w:firstRow="0" w:lastRow="0" w:firstColumn="0" w:lastColumn="0" w:oddVBand="0" w:evenVBand="0" w:oddHBand="0" w:evenHBand="1" w:firstRowFirstColumn="0" w:firstRowLastColumn="0" w:lastRowFirstColumn="0" w:lastRowLastColumn="0"/>
        </w:trPr>
        <w:tc>
          <w:tcPr>
            <w:tcW w:w="1678" w:type="dxa"/>
          </w:tcPr>
          <w:p w14:paraId="179A7172" w14:textId="77777777" w:rsidR="003D54E4" w:rsidRDefault="003D54E4" w:rsidP="003D54E4">
            <w:pPr>
              <w:pStyle w:val="TableParagraph"/>
            </w:pPr>
            <w:r>
              <w:t>Resources used</w:t>
            </w:r>
          </w:p>
        </w:tc>
        <w:tc>
          <w:tcPr>
            <w:tcW w:w="8055" w:type="dxa"/>
          </w:tcPr>
          <w:p w14:paraId="1AFED897" w14:textId="77777777" w:rsidR="003D54E4" w:rsidRDefault="003D54E4" w:rsidP="003D54E4">
            <w:pPr>
              <w:pStyle w:val="TableParagraph"/>
            </w:pPr>
            <w:r>
              <w:t xml:space="preserve">The differing types of support also use differing resources: </w:t>
            </w:r>
          </w:p>
          <w:p w14:paraId="3DC7D8D8" w14:textId="77777777" w:rsidR="003D54E4" w:rsidRDefault="003D54E4" w:rsidP="003D54E4">
            <w:pPr>
              <w:pStyle w:val="Tablebullet"/>
            </w:pPr>
            <w:r>
              <w:t xml:space="preserve">Employed staff (all projects have employed staff however the number of staff varies) </w:t>
            </w:r>
          </w:p>
          <w:p w14:paraId="36D6B4F4" w14:textId="77777777" w:rsidR="003D54E4" w:rsidRDefault="003D54E4" w:rsidP="003D54E4">
            <w:pPr>
              <w:pStyle w:val="Tablebullet"/>
            </w:pPr>
            <w:r>
              <w:t xml:space="preserve">Volunteers, all of the projects except Mid Essex include volunteers to help deliver the service as well as providing volunteering opportunities for e.g. people with mental ill health </w:t>
            </w:r>
          </w:p>
        </w:tc>
      </w:tr>
      <w:tr w:rsidR="003D54E4" w14:paraId="390D666B" w14:textId="77777777" w:rsidTr="003D54E4">
        <w:trPr>
          <w:cnfStyle w:val="000000100000" w:firstRow="0" w:lastRow="0" w:firstColumn="0" w:lastColumn="0" w:oddVBand="0" w:evenVBand="0" w:oddHBand="1" w:evenHBand="0" w:firstRowFirstColumn="0" w:firstRowLastColumn="0" w:lastRowFirstColumn="0" w:lastRowLastColumn="0"/>
        </w:trPr>
        <w:tc>
          <w:tcPr>
            <w:tcW w:w="1678" w:type="dxa"/>
          </w:tcPr>
          <w:p w14:paraId="2F8DF320" w14:textId="77777777" w:rsidR="003D54E4" w:rsidRDefault="003D54E4" w:rsidP="003D54E4">
            <w:pPr>
              <w:pStyle w:val="TableParagraph"/>
            </w:pPr>
            <w:r>
              <w:t xml:space="preserve">Monitoring Information / Reports </w:t>
            </w:r>
          </w:p>
        </w:tc>
        <w:tc>
          <w:tcPr>
            <w:tcW w:w="8055" w:type="dxa"/>
          </w:tcPr>
          <w:p w14:paraId="73B4D1B6" w14:textId="38D2EB36" w:rsidR="003D54E4" w:rsidRDefault="003D54E4" w:rsidP="003D54E4">
            <w:pPr>
              <w:pStyle w:val="Tablebullet"/>
            </w:pPr>
            <w:r w:rsidRPr="00846A1E">
              <w:t xml:space="preserve">The grant agreements / </w:t>
            </w:r>
            <w:r w:rsidR="008207BA">
              <w:t>Service Level Agreement (</w:t>
            </w:r>
            <w:r w:rsidRPr="00846A1E">
              <w:t>SLA</w:t>
            </w:r>
            <w:r w:rsidR="008207BA">
              <w:t>)</w:t>
            </w:r>
            <w:r w:rsidRPr="00846A1E">
              <w:t xml:space="preserve"> </w:t>
            </w:r>
            <w:r>
              <w:t xml:space="preserve">set out </w:t>
            </w:r>
            <w:r w:rsidR="00C70808">
              <w:t xml:space="preserve">the </w:t>
            </w:r>
            <w:r w:rsidR="00C70808" w:rsidRPr="00846A1E">
              <w:t>monitoring</w:t>
            </w:r>
            <w:r w:rsidRPr="00846A1E">
              <w:t xml:space="preserve"> arrangements, however the level of detail on what infor</w:t>
            </w:r>
            <w:r>
              <w:t>mation is to be recorded varies</w:t>
            </w:r>
          </w:p>
          <w:p w14:paraId="7ADE3112" w14:textId="77777777" w:rsidR="003D54E4" w:rsidRDefault="003D54E4" w:rsidP="003D54E4">
            <w:pPr>
              <w:pStyle w:val="Tablebullet"/>
            </w:pPr>
            <w:r>
              <w:t>While some projects have monthly monitoring reports that contain data on referrals to the project / source of referrals as well as onward referrals, this is not evident for other projects</w:t>
            </w:r>
          </w:p>
        </w:tc>
      </w:tr>
      <w:tr w:rsidR="003D54E4" w14:paraId="5FD9BA23" w14:textId="77777777" w:rsidTr="003D54E4">
        <w:trPr>
          <w:cnfStyle w:val="000000010000" w:firstRow="0" w:lastRow="0" w:firstColumn="0" w:lastColumn="0" w:oddVBand="0" w:evenVBand="0" w:oddHBand="0" w:evenHBand="1" w:firstRowFirstColumn="0" w:firstRowLastColumn="0" w:lastRowFirstColumn="0" w:lastRowLastColumn="0"/>
        </w:trPr>
        <w:tc>
          <w:tcPr>
            <w:tcW w:w="1678" w:type="dxa"/>
          </w:tcPr>
          <w:p w14:paraId="521ED97B" w14:textId="77777777" w:rsidR="003D54E4" w:rsidRDefault="003D54E4" w:rsidP="003D54E4">
            <w:pPr>
              <w:pStyle w:val="TableParagraph"/>
            </w:pPr>
            <w:r>
              <w:t>Existing Infrastructure</w:t>
            </w:r>
          </w:p>
        </w:tc>
        <w:tc>
          <w:tcPr>
            <w:tcW w:w="8055" w:type="dxa"/>
          </w:tcPr>
          <w:p w14:paraId="048A2FE2" w14:textId="77777777" w:rsidR="003D54E4" w:rsidRDefault="00C74E24" w:rsidP="00C74E24">
            <w:pPr>
              <w:pStyle w:val="TableParagraph"/>
            </w:pPr>
            <w:r>
              <w:t>Each of the projects had access to different existing infrastructure, including:</w:t>
            </w:r>
          </w:p>
          <w:p w14:paraId="445BAFAB" w14:textId="77777777" w:rsidR="00C74E24" w:rsidRDefault="00C74E24" w:rsidP="00C74E24">
            <w:pPr>
              <w:pStyle w:val="Tablebullet"/>
            </w:pPr>
            <w:r>
              <w:t xml:space="preserve">As part of a wider programme </w:t>
            </w:r>
            <w:r w:rsidR="00540D55">
              <w:t>link to a strategic board</w:t>
            </w:r>
            <w:r>
              <w:t xml:space="preserve"> (</w:t>
            </w:r>
            <w:r w:rsidRPr="00C74E24">
              <w:t>Mid Essex</w:t>
            </w:r>
            <w:r>
              <w:t xml:space="preserve"> and North East</w:t>
            </w:r>
            <w:r w:rsidR="00540D55">
              <w:t xml:space="preserve"> Essex (My Social Prescription))</w:t>
            </w:r>
          </w:p>
          <w:p w14:paraId="0C6F004D" w14:textId="77777777" w:rsidR="00C74E24" w:rsidRDefault="00C74E24" w:rsidP="00C74E24">
            <w:pPr>
              <w:pStyle w:val="Tablebullet"/>
            </w:pPr>
            <w:r>
              <w:lastRenderedPageBreak/>
              <w:t>Staff / volunteers within delivery organisations (</w:t>
            </w:r>
            <w:r w:rsidR="00540D55">
              <w:t>all)</w:t>
            </w:r>
          </w:p>
          <w:p w14:paraId="196B40E6" w14:textId="77777777" w:rsidR="00C74E24" w:rsidRDefault="00C74E24" w:rsidP="00C74E24">
            <w:pPr>
              <w:pStyle w:val="Tablebullet"/>
            </w:pPr>
            <w:r>
              <w:t xml:space="preserve">Existing information sources / directories </w:t>
            </w:r>
            <w:r w:rsidR="00540D55">
              <w:t>(all)</w:t>
            </w:r>
          </w:p>
          <w:p w14:paraId="42A57080" w14:textId="77777777" w:rsidR="00C74E24" w:rsidRPr="00846A1E" w:rsidRDefault="007B3786" w:rsidP="007B3786">
            <w:pPr>
              <w:pStyle w:val="Tablebullet"/>
            </w:pPr>
            <w:r>
              <w:t>Existing relationships with local agencies (all)</w:t>
            </w:r>
          </w:p>
        </w:tc>
      </w:tr>
    </w:tbl>
    <w:p w14:paraId="3EC6B02D" w14:textId="77777777" w:rsidR="00193A77" w:rsidRDefault="00193A77" w:rsidP="00AE785D">
      <w:pPr>
        <w:pStyle w:val="BodyText-parastyle"/>
      </w:pPr>
    </w:p>
    <w:p w14:paraId="204E522B" w14:textId="3800005D" w:rsidR="009F3F52" w:rsidRDefault="003D54E4" w:rsidP="00AE785D">
      <w:pPr>
        <w:pStyle w:val="BodyText-parastyle"/>
      </w:pPr>
      <w:r>
        <w:t xml:space="preserve">Each of the models are at different stages in their development, as while some localities have been delivering services for a year or more others have commenced later. An overview of the timescales for each project is in </w:t>
      </w:r>
      <w:r w:rsidR="00335DB3">
        <w:t xml:space="preserve">table </w:t>
      </w:r>
      <w:r w:rsidR="00375A26">
        <w:t>4.2.</w:t>
      </w:r>
    </w:p>
    <w:p w14:paraId="77B2FF94" w14:textId="77777777" w:rsidR="0083508C" w:rsidRDefault="0083508C"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4</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w:t>
      </w:r>
      <w:r w:rsidR="00603E87">
        <w:fldChar w:fldCharType="end"/>
      </w:r>
      <w:r>
        <w:t>: Social Prescribing Project Timescales</w:t>
      </w:r>
    </w:p>
    <w:tbl>
      <w:tblPr>
        <w:tblStyle w:val="TableGrid"/>
        <w:tblW w:w="0" w:type="auto"/>
        <w:tblLook w:val="04A0" w:firstRow="1" w:lastRow="0" w:firstColumn="1" w:lastColumn="0" w:noHBand="0" w:noVBand="1"/>
      </w:tblPr>
      <w:tblGrid>
        <w:gridCol w:w="4673"/>
        <w:gridCol w:w="4961"/>
      </w:tblGrid>
      <w:tr w:rsidR="0083508C" w14:paraId="0AAD1B71" w14:textId="77777777" w:rsidTr="00DA73B9">
        <w:trPr>
          <w:cnfStyle w:val="100000000000" w:firstRow="1" w:lastRow="0" w:firstColumn="0" w:lastColumn="0" w:oddVBand="0" w:evenVBand="0" w:oddHBand="0" w:evenHBand="0" w:firstRowFirstColumn="0" w:firstRowLastColumn="0" w:lastRowFirstColumn="0" w:lastRowLastColumn="0"/>
          <w:tblHeader/>
        </w:trPr>
        <w:tc>
          <w:tcPr>
            <w:tcW w:w="4673" w:type="dxa"/>
          </w:tcPr>
          <w:p w14:paraId="2903C74E" w14:textId="77777777" w:rsidR="0083508C" w:rsidRDefault="0083508C" w:rsidP="00F01BE0">
            <w:pPr>
              <w:pStyle w:val="TableHeading"/>
            </w:pPr>
            <w:r w:rsidRPr="0095370C">
              <w:t xml:space="preserve">Locality </w:t>
            </w:r>
          </w:p>
        </w:tc>
        <w:tc>
          <w:tcPr>
            <w:tcW w:w="4961" w:type="dxa"/>
          </w:tcPr>
          <w:p w14:paraId="1101BC9A" w14:textId="77777777" w:rsidR="0083508C" w:rsidRDefault="0083508C" w:rsidP="00F01BE0">
            <w:pPr>
              <w:pStyle w:val="TableHeading"/>
            </w:pPr>
            <w:r w:rsidRPr="0095370C">
              <w:t>Project Timescales</w:t>
            </w:r>
          </w:p>
        </w:tc>
      </w:tr>
      <w:tr w:rsidR="0083508C" w14:paraId="35A48268" w14:textId="77777777" w:rsidTr="00DA73B9">
        <w:trPr>
          <w:cnfStyle w:val="000000100000" w:firstRow="0" w:lastRow="0" w:firstColumn="0" w:lastColumn="0" w:oddVBand="0" w:evenVBand="0" w:oddHBand="1" w:evenHBand="0" w:firstRowFirstColumn="0" w:firstRowLastColumn="0" w:lastRowFirstColumn="0" w:lastRowLastColumn="0"/>
        </w:trPr>
        <w:tc>
          <w:tcPr>
            <w:tcW w:w="4673" w:type="dxa"/>
          </w:tcPr>
          <w:p w14:paraId="2E027A12" w14:textId="77777777" w:rsidR="0083508C" w:rsidRDefault="0083508C" w:rsidP="00AE785D">
            <w:pPr>
              <w:pStyle w:val="BodyText-parastyle"/>
            </w:pPr>
            <w:r w:rsidRPr="009F7F19">
              <w:rPr>
                <w:rStyle w:val="Strong"/>
                <w:b w:val="0"/>
                <w:sz w:val="20"/>
              </w:rPr>
              <w:t>Basildon and Brentwood</w:t>
            </w:r>
          </w:p>
        </w:tc>
        <w:tc>
          <w:tcPr>
            <w:tcW w:w="4961" w:type="dxa"/>
          </w:tcPr>
          <w:p w14:paraId="3011CAF9" w14:textId="77777777" w:rsidR="0083508C" w:rsidRDefault="0083508C" w:rsidP="00AE785D">
            <w:pPr>
              <w:pStyle w:val="BodyText-parastyle"/>
            </w:pPr>
            <w:r w:rsidRPr="009F7F19">
              <w:rPr>
                <w:rStyle w:val="Strong"/>
                <w:b w:val="0"/>
                <w:sz w:val="20"/>
              </w:rPr>
              <w:t>1</w:t>
            </w:r>
            <w:r>
              <w:rPr>
                <w:rStyle w:val="Strong"/>
                <w:b w:val="0"/>
                <w:sz w:val="20"/>
              </w:rPr>
              <w:t xml:space="preserve"> September 2015 to 1 March 2017</w:t>
            </w:r>
            <w:r>
              <w:rPr>
                <w:rStyle w:val="FootnoteReference"/>
              </w:rPr>
              <w:footnoteReference w:id="52"/>
            </w:r>
          </w:p>
        </w:tc>
      </w:tr>
      <w:tr w:rsidR="0083508C" w14:paraId="6F49FE52" w14:textId="77777777" w:rsidTr="00DA73B9">
        <w:trPr>
          <w:cnfStyle w:val="000000010000" w:firstRow="0" w:lastRow="0" w:firstColumn="0" w:lastColumn="0" w:oddVBand="0" w:evenVBand="0" w:oddHBand="0" w:evenHBand="1" w:firstRowFirstColumn="0" w:firstRowLastColumn="0" w:lastRowFirstColumn="0" w:lastRowLastColumn="0"/>
        </w:trPr>
        <w:tc>
          <w:tcPr>
            <w:tcW w:w="4673" w:type="dxa"/>
          </w:tcPr>
          <w:p w14:paraId="032BA25B" w14:textId="77777777" w:rsidR="0083508C" w:rsidRDefault="0083508C" w:rsidP="00AE785D">
            <w:pPr>
              <w:pStyle w:val="BodyText-parastyle"/>
            </w:pPr>
            <w:r w:rsidRPr="009F7F19">
              <w:rPr>
                <w:rStyle w:val="Strong"/>
                <w:b w:val="0"/>
                <w:sz w:val="20"/>
              </w:rPr>
              <w:t>Castle Point and Rochford</w:t>
            </w:r>
          </w:p>
        </w:tc>
        <w:tc>
          <w:tcPr>
            <w:tcW w:w="4961" w:type="dxa"/>
          </w:tcPr>
          <w:p w14:paraId="3C0036FB" w14:textId="32069196" w:rsidR="0083508C" w:rsidRDefault="0083508C" w:rsidP="00AE785D">
            <w:pPr>
              <w:pStyle w:val="BodyText-parastyle"/>
            </w:pPr>
            <w:r>
              <w:rPr>
                <w:rStyle w:val="Strong"/>
                <w:b w:val="0"/>
                <w:sz w:val="20"/>
              </w:rPr>
              <w:t>February 2016 – March 2018</w:t>
            </w:r>
            <w:r>
              <w:rPr>
                <w:rStyle w:val="FootnoteReference"/>
              </w:rPr>
              <w:footnoteReference w:id="53"/>
            </w:r>
            <w:r w:rsidR="00DA73B9">
              <w:rPr>
                <w:rStyle w:val="Strong"/>
                <w:b w:val="0"/>
                <w:sz w:val="20"/>
              </w:rPr>
              <w:t xml:space="preserve"> (however this report reflects only the funding received for 2016/17)</w:t>
            </w:r>
          </w:p>
        </w:tc>
      </w:tr>
      <w:tr w:rsidR="0083508C" w14:paraId="56222374" w14:textId="77777777" w:rsidTr="00DA73B9">
        <w:trPr>
          <w:cnfStyle w:val="000000100000" w:firstRow="0" w:lastRow="0" w:firstColumn="0" w:lastColumn="0" w:oddVBand="0" w:evenVBand="0" w:oddHBand="1" w:evenHBand="0" w:firstRowFirstColumn="0" w:firstRowLastColumn="0" w:lastRowFirstColumn="0" w:lastRowLastColumn="0"/>
        </w:trPr>
        <w:tc>
          <w:tcPr>
            <w:tcW w:w="4673" w:type="dxa"/>
          </w:tcPr>
          <w:p w14:paraId="04AE770B" w14:textId="77777777" w:rsidR="0083508C" w:rsidRDefault="0083508C" w:rsidP="00AE785D">
            <w:pPr>
              <w:pStyle w:val="BodyText-parastyle"/>
            </w:pPr>
            <w:r w:rsidRPr="009F7F19">
              <w:rPr>
                <w:rStyle w:val="Strong"/>
                <w:b w:val="0"/>
                <w:sz w:val="20"/>
              </w:rPr>
              <w:t>North East Essex – Mental Health Hub Tendring</w:t>
            </w:r>
          </w:p>
        </w:tc>
        <w:tc>
          <w:tcPr>
            <w:tcW w:w="4961" w:type="dxa"/>
          </w:tcPr>
          <w:p w14:paraId="3419A029" w14:textId="77777777" w:rsidR="0083508C" w:rsidRDefault="0083508C" w:rsidP="00AE785D">
            <w:pPr>
              <w:pStyle w:val="BodyText-parastyle"/>
            </w:pPr>
            <w:r w:rsidRPr="001448C7">
              <w:rPr>
                <w:rStyle w:val="Strong"/>
                <w:b w:val="0"/>
                <w:sz w:val="20"/>
              </w:rPr>
              <w:t>April 2015 – 1 March 2017</w:t>
            </w:r>
            <w:r>
              <w:rPr>
                <w:rStyle w:val="FootnoteReference"/>
              </w:rPr>
              <w:footnoteReference w:id="54"/>
            </w:r>
          </w:p>
        </w:tc>
      </w:tr>
      <w:tr w:rsidR="0083508C" w14:paraId="2196720C" w14:textId="77777777" w:rsidTr="00DA73B9">
        <w:trPr>
          <w:cnfStyle w:val="000000010000" w:firstRow="0" w:lastRow="0" w:firstColumn="0" w:lastColumn="0" w:oddVBand="0" w:evenVBand="0" w:oddHBand="0" w:evenHBand="1" w:firstRowFirstColumn="0" w:firstRowLastColumn="0" w:lastRowFirstColumn="0" w:lastRowLastColumn="0"/>
        </w:trPr>
        <w:tc>
          <w:tcPr>
            <w:tcW w:w="4673" w:type="dxa"/>
          </w:tcPr>
          <w:p w14:paraId="76B6FBD1" w14:textId="77777777" w:rsidR="0083508C" w:rsidRDefault="0083508C" w:rsidP="00AE785D">
            <w:pPr>
              <w:pStyle w:val="BodyText-parastyle"/>
            </w:pPr>
            <w:r w:rsidRPr="009F7F19">
              <w:rPr>
                <w:rStyle w:val="Strong"/>
                <w:b w:val="0"/>
                <w:sz w:val="20"/>
              </w:rPr>
              <w:t>North East Essex –  Colchester</w:t>
            </w:r>
          </w:p>
        </w:tc>
        <w:tc>
          <w:tcPr>
            <w:tcW w:w="4961" w:type="dxa"/>
          </w:tcPr>
          <w:p w14:paraId="64E78998" w14:textId="77777777" w:rsidR="0083508C" w:rsidRDefault="0083508C" w:rsidP="00AE785D">
            <w:pPr>
              <w:pStyle w:val="BodyText-parastyle"/>
            </w:pPr>
            <w:r w:rsidRPr="00405D23">
              <w:rPr>
                <w:rStyle w:val="Strong"/>
                <w:b w:val="0"/>
                <w:sz w:val="20"/>
              </w:rPr>
              <w:t>1 January 2015 - March 2017</w:t>
            </w:r>
            <w:r>
              <w:rPr>
                <w:rStyle w:val="FootnoteReference"/>
              </w:rPr>
              <w:footnoteReference w:id="55"/>
            </w:r>
          </w:p>
        </w:tc>
      </w:tr>
      <w:tr w:rsidR="0083508C" w14:paraId="5FE81256" w14:textId="77777777" w:rsidTr="00DA73B9">
        <w:trPr>
          <w:cnfStyle w:val="000000100000" w:firstRow="0" w:lastRow="0" w:firstColumn="0" w:lastColumn="0" w:oddVBand="0" w:evenVBand="0" w:oddHBand="1" w:evenHBand="0" w:firstRowFirstColumn="0" w:firstRowLastColumn="0" w:lastRowFirstColumn="0" w:lastRowLastColumn="0"/>
        </w:trPr>
        <w:tc>
          <w:tcPr>
            <w:tcW w:w="4673" w:type="dxa"/>
          </w:tcPr>
          <w:p w14:paraId="23A20A6E" w14:textId="77777777" w:rsidR="0083508C" w:rsidRDefault="0083508C" w:rsidP="00AE785D">
            <w:pPr>
              <w:pStyle w:val="BodyText-parastyle"/>
            </w:pPr>
            <w:r w:rsidRPr="00D61C31">
              <w:rPr>
                <w:rStyle w:val="Strong"/>
                <w:b w:val="0"/>
                <w:sz w:val="20"/>
              </w:rPr>
              <w:t>Mid Essex</w:t>
            </w:r>
          </w:p>
        </w:tc>
        <w:tc>
          <w:tcPr>
            <w:tcW w:w="4961" w:type="dxa"/>
          </w:tcPr>
          <w:p w14:paraId="1A76F029" w14:textId="52F2F54F" w:rsidR="0083508C" w:rsidRDefault="0050373E" w:rsidP="00AE785D">
            <w:pPr>
              <w:pStyle w:val="BodyText-parastyle"/>
            </w:pPr>
            <w:r>
              <w:rPr>
                <w:rStyle w:val="Strong"/>
                <w:b w:val="0"/>
                <w:sz w:val="20"/>
              </w:rPr>
              <w:t xml:space="preserve">July </w:t>
            </w:r>
            <w:r w:rsidR="005E338B" w:rsidRPr="00DF6B09">
              <w:rPr>
                <w:rStyle w:val="Strong"/>
                <w:b w:val="0"/>
                <w:sz w:val="20"/>
              </w:rPr>
              <w:t>201</w:t>
            </w:r>
            <w:r w:rsidR="005E338B">
              <w:rPr>
                <w:rStyle w:val="Strong"/>
                <w:b w:val="0"/>
                <w:sz w:val="20"/>
              </w:rPr>
              <w:t>5</w:t>
            </w:r>
            <w:r w:rsidR="0083508C" w:rsidRPr="00DF6B09">
              <w:rPr>
                <w:rStyle w:val="Strong"/>
                <w:b w:val="0"/>
                <w:sz w:val="20"/>
              </w:rPr>
              <w:t>–</w:t>
            </w:r>
            <w:r w:rsidR="007F7C91">
              <w:rPr>
                <w:rStyle w:val="Strong"/>
                <w:b w:val="0"/>
                <w:sz w:val="20"/>
              </w:rPr>
              <w:t>Mar</w:t>
            </w:r>
            <w:r w:rsidR="00C26BF0">
              <w:rPr>
                <w:rStyle w:val="Strong"/>
                <w:b w:val="0"/>
                <w:sz w:val="20"/>
              </w:rPr>
              <w:t>ch</w:t>
            </w:r>
            <w:r w:rsidR="007F7C91">
              <w:rPr>
                <w:rStyle w:val="Strong"/>
                <w:b w:val="0"/>
                <w:sz w:val="20"/>
              </w:rPr>
              <w:t xml:space="preserve"> </w:t>
            </w:r>
            <w:r w:rsidR="0083508C" w:rsidRPr="00DF6B09">
              <w:rPr>
                <w:rStyle w:val="Strong"/>
                <w:b w:val="0"/>
                <w:sz w:val="20"/>
              </w:rPr>
              <w:t>2017</w:t>
            </w:r>
            <w:r w:rsidR="0083508C" w:rsidRPr="00DF6B09">
              <w:rPr>
                <w:rStyle w:val="FootnoteReference"/>
              </w:rPr>
              <w:footnoteReference w:id="56"/>
            </w:r>
          </w:p>
        </w:tc>
      </w:tr>
      <w:tr w:rsidR="0083508C" w14:paraId="0D32486D" w14:textId="77777777" w:rsidTr="00DA73B9">
        <w:trPr>
          <w:cnfStyle w:val="000000010000" w:firstRow="0" w:lastRow="0" w:firstColumn="0" w:lastColumn="0" w:oddVBand="0" w:evenVBand="0" w:oddHBand="0" w:evenHBand="1" w:firstRowFirstColumn="0" w:firstRowLastColumn="0" w:lastRowFirstColumn="0" w:lastRowLastColumn="0"/>
        </w:trPr>
        <w:tc>
          <w:tcPr>
            <w:tcW w:w="4673" w:type="dxa"/>
          </w:tcPr>
          <w:p w14:paraId="651444FB" w14:textId="77777777" w:rsidR="0083508C" w:rsidRDefault="0083508C" w:rsidP="00AE785D">
            <w:pPr>
              <w:pStyle w:val="BodyText-parastyle"/>
            </w:pPr>
            <w:r w:rsidRPr="009F7F19">
              <w:rPr>
                <w:rStyle w:val="Strong"/>
                <w:b w:val="0"/>
                <w:sz w:val="20"/>
              </w:rPr>
              <w:t>West Essex</w:t>
            </w:r>
          </w:p>
        </w:tc>
        <w:tc>
          <w:tcPr>
            <w:tcW w:w="4961" w:type="dxa"/>
          </w:tcPr>
          <w:p w14:paraId="55A745EC" w14:textId="77777777" w:rsidR="0083508C" w:rsidRDefault="0083508C" w:rsidP="00AE785D">
            <w:pPr>
              <w:pStyle w:val="BodyText-parastyle"/>
            </w:pPr>
            <w:r>
              <w:rPr>
                <w:rStyle w:val="Strong"/>
                <w:b w:val="0"/>
                <w:sz w:val="20"/>
              </w:rPr>
              <w:t>December 2014 – 31 November 2016</w:t>
            </w:r>
            <w:r>
              <w:rPr>
                <w:rStyle w:val="FootnoteReference"/>
              </w:rPr>
              <w:footnoteReference w:id="57"/>
            </w:r>
          </w:p>
        </w:tc>
      </w:tr>
      <w:tr w:rsidR="0083508C" w14:paraId="0F6BDE12" w14:textId="77777777" w:rsidTr="00DA73B9">
        <w:trPr>
          <w:cnfStyle w:val="000000100000" w:firstRow="0" w:lastRow="0" w:firstColumn="0" w:lastColumn="0" w:oddVBand="0" w:evenVBand="0" w:oddHBand="1" w:evenHBand="0" w:firstRowFirstColumn="0" w:firstRowLastColumn="0" w:lastRowFirstColumn="0" w:lastRowLastColumn="0"/>
        </w:trPr>
        <w:tc>
          <w:tcPr>
            <w:tcW w:w="4673" w:type="dxa"/>
          </w:tcPr>
          <w:p w14:paraId="5D114155" w14:textId="77777777" w:rsidR="0083508C" w:rsidRDefault="0083508C" w:rsidP="00AE785D">
            <w:pPr>
              <w:pStyle w:val="BodyText-parastyle"/>
            </w:pPr>
            <w:r>
              <w:rPr>
                <w:rStyle w:val="Strong"/>
                <w:b w:val="0"/>
                <w:sz w:val="20"/>
              </w:rPr>
              <w:t>Southend-On-Sea</w:t>
            </w:r>
          </w:p>
        </w:tc>
        <w:tc>
          <w:tcPr>
            <w:tcW w:w="4961" w:type="dxa"/>
          </w:tcPr>
          <w:p w14:paraId="7A043B82" w14:textId="77777777" w:rsidR="0083508C" w:rsidRDefault="0083508C" w:rsidP="00AE785D">
            <w:pPr>
              <w:pStyle w:val="BodyText-parastyle"/>
            </w:pPr>
            <w:r w:rsidRPr="003967AF">
              <w:rPr>
                <w:rStyle w:val="Strong"/>
                <w:b w:val="0"/>
                <w:sz w:val="20"/>
              </w:rPr>
              <w:t>June 2015 to September 2016</w:t>
            </w:r>
            <w:r>
              <w:rPr>
                <w:rStyle w:val="FootnoteReference"/>
              </w:rPr>
              <w:footnoteReference w:id="58"/>
            </w:r>
          </w:p>
        </w:tc>
      </w:tr>
    </w:tbl>
    <w:p w14:paraId="18585307" w14:textId="77777777" w:rsidR="0083508C" w:rsidRDefault="0083508C" w:rsidP="00AE785D">
      <w:pPr>
        <w:pStyle w:val="BodyText-parastyle"/>
      </w:pPr>
      <w:r>
        <w:t xml:space="preserve">The table above shows that the social prescribing projects in each locality have been delivering services for differing periods of time and therefore it is expected that the outputs and evidence of outcomes may vary. </w:t>
      </w:r>
    </w:p>
    <w:p w14:paraId="0F75E214" w14:textId="77777777" w:rsidR="00193A77" w:rsidRDefault="00193A77" w:rsidP="00AE785D">
      <w:pPr>
        <w:pStyle w:val="BodyText-parastyle"/>
      </w:pPr>
    </w:p>
    <w:p w14:paraId="386EC506" w14:textId="77777777" w:rsidR="002D7BDF" w:rsidRDefault="002D7BDF" w:rsidP="000A4023">
      <w:pPr>
        <w:pStyle w:val="Heading3"/>
        <w:numPr>
          <w:ilvl w:val="0"/>
          <w:numId w:val="0"/>
        </w:numPr>
        <w:sectPr w:rsidR="002D7BDF" w:rsidSect="0012257C">
          <w:footerReference w:type="default" r:id="rId14"/>
          <w:pgSz w:w="11910" w:h="16840"/>
          <w:pgMar w:top="1418" w:right="711" w:bottom="280" w:left="1420" w:header="720" w:footer="720" w:gutter="0"/>
          <w:pgNumType w:start="1"/>
          <w:cols w:space="720"/>
        </w:sectPr>
      </w:pPr>
    </w:p>
    <w:p w14:paraId="0C895405" w14:textId="77777777" w:rsidR="00193A77" w:rsidRDefault="00193A77" w:rsidP="00D465F1">
      <w:pPr>
        <w:pStyle w:val="Heading3"/>
      </w:pPr>
      <w:r>
        <w:lastRenderedPageBreak/>
        <w:t>Social Prescribing Pathways</w:t>
      </w:r>
    </w:p>
    <w:p w14:paraId="0B68F952" w14:textId="77777777" w:rsidR="000C6A8D" w:rsidRDefault="00D91856" w:rsidP="00AE785D">
      <w:pPr>
        <w:pStyle w:val="BodyText-parastyle"/>
        <w:rPr>
          <w:noProof/>
        </w:rPr>
      </w:pPr>
      <w:r>
        <w:t xml:space="preserve">Each of the projects involves a specific pathway for referrals; this is similar for the </w:t>
      </w:r>
      <w:r w:rsidR="000C6A8D">
        <w:t>four of the</w:t>
      </w:r>
      <w:r>
        <w:t xml:space="preserve"> models (Basildon and Brentwood; Ways to Wellness</w:t>
      </w:r>
      <w:r w:rsidR="000C6A8D">
        <w:t>,</w:t>
      </w:r>
      <w:r>
        <w:t xml:space="preserve"> Smart Life</w:t>
      </w:r>
      <w:r w:rsidR="000C6A8D">
        <w:t xml:space="preserve"> and Southend</w:t>
      </w:r>
      <w:r>
        <w:t>) with different pathways for My Social Prescription</w:t>
      </w:r>
      <w:r w:rsidR="000C6A8D">
        <w:t xml:space="preserve"> / Tendring</w:t>
      </w:r>
      <w:r>
        <w:t xml:space="preserve"> and Connect Well. </w:t>
      </w:r>
    </w:p>
    <w:p w14:paraId="5531666D" w14:textId="77777777" w:rsidR="000C6A8D" w:rsidRDefault="000C6A8D" w:rsidP="00234FBE">
      <w:pPr>
        <w:pStyle w:val="BodyText-parastyle"/>
        <w:jc w:val="center"/>
        <w:sectPr w:rsidR="000C6A8D" w:rsidSect="002D7BDF">
          <w:pgSz w:w="16840" w:h="11910" w:orient="landscape"/>
          <w:pgMar w:top="1418" w:right="1418" w:bottom="709" w:left="278" w:header="720" w:footer="720" w:gutter="0"/>
          <w:cols w:space="720"/>
        </w:sectPr>
      </w:pPr>
      <w:r w:rsidRPr="000C6A8D">
        <w:rPr>
          <w:noProof/>
        </w:rPr>
        <w:drawing>
          <wp:inline distT="0" distB="0" distL="0" distR="0" wp14:anchorId="70424ECC" wp14:editId="3AD5CCD0">
            <wp:extent cx="8244840" cy="4584095"/>
            <wp:effectExtent l="19050" t="19050" r="228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58941" cy="4591935"/>
                    </a:xfrm>
                    <a:prstGeom prst="rect">
                      <a:avLst/>
                    </a:prstGeom>
                    <a:ln>
                      <a:solidFill>
                        <a:srgbClr val="00B0F0"/>
                      </a:solidFill>
                    </a:ln>
                  </pic:spPr>
                </pic:pic>
              </a:graphicData>
            </a:graphic>
          </wp:inline>
        </w:drawing>
      </w:r>
    </w:p>
    <w:p w14:paraId="633340CE" w14:textId="77777777" w:rsidR="005110B2" w:rsidRDefault="005110B2" w:rsidP="00D465F1">
      <w:pPr>
        <w:pStyle w:val="Heading3"/>
      </w:pPr>
      <w:r>
        <w:lastRenderedPageBreak/>
        <w:t xml:space="preserve">Monitoring </w:t>
      </w:r>
    </w:p>
    <w:p w14:paraId="404A1D8A" w14:textId="225D0F18" w:rsidR="005110B2" w:rsidRDefault="00450795" w:rsidP="00AE785D">
      <w:pPr>
        <w:pStyle w:val="BodyText-parastyle"/>
      </w:pPr>
      <w:r>
        <w:t>In Basildon and Brentwood, Castle Point and Rochford</w:t>
      </w:r>
      <w:r w:rsidR="00006764">
        <w:t xml:space="preserve">, </w:t>
      </w:r>
      <w:r>
        <w:t xml:space="preserve">Mid </w:t>
      </w:r>
      <w:r w:rsidR="00C26BF0">
        <w:t xml:space="preserve">and West </w:t>
      </w:r>
      <w:r>
        <w:t xml:space="preserve">Essex ECC provided funding </w:t>
      </w:r>
      <w:r w:rsidRPr="00450795">
        <w:t xml:space="preserve">to the CCG in </w:t>
      </w:r>
      <w:r>
        <w:t xml:space="preserve">a section 76 agreement and the </w:t>
      </w:r>
      <w:r w:rsidRPr="00450795">
        <w:t>CCG commissioned the delivery organisation</w:t>
      </w:r>
      <w:r>
        <w:t xml:space="preserve">, while in </w:t>
      </w:r>
      <w:r w:rsidRPr="00450795">
        <w:t>Southend and North East Essex the grant agreement was direct with ECC</w:t>
      </w:r>
      <w:r w:rsidR="009F3F52">
        <w:t>.</w:t>
      </w:r>
    </w:p>
    <w:p w14:paraId="765C16E3" w14:textId="77777777" w:rsidR="003A7C45" w:rsidRDefault="005110B2" w:rsidP="00AE785D">
      <w:pPr>
        <w:pStyle w:val="BodyText-parastyle"/>
      </w:pPr>
      <w:r>
        <w:t>A review of the contract arrangements show that while each document contains details on the purpose of the project, its objectives and targets and indicates that monitoring reports will be required, the timing and content of these is not specified in each case.</w:t>
      </w:r>
    </w:p>
    <w:p w14:paraId="45E707E9" w14:textId="08A8C589" w:rsidR="00780527" w:rsidRPr="00916843" w:rsidRDefault="003A7C45" w:rsidP="00AE785D">
      <w:pPr>
        <w:pStyle w:val="BodyText-parastyle"/>
      </w:pPr>
      <w:r>
        <w:t xml:space="preserve">There is scope for greater consistency in the monitoring information that was collected at project level. While projects reported on the information required by their respective CCG / Board the type of information reported was not consistent and in some cases the </w:t>
      </w:r>
      <w:r w:rsidRPr="003A7C45">
        <w:t xml:space="preserve">monitoring reports were not sufficient to assess whether the targets / </w:t>
      </w:r>
      <w:r w:rsidR="009917F6">
        <w:t>key performance indicators (</w:t>
      </w:r>
      <w:r>
        <w:t>KPIs</w:t>
      </w:r>
      <w:r w:rsidR="009917F6">
        <w:t>)</w:t>
      </w:r>
      <w:r>
        <w:t xml:space="preserve"> </w:t>
      </w:r>
      <w:r w:rsidRPr="003A7C45">
        <w:t>were on track to be achieved or not</w:t>
      </w:r>
      <w:r>
        <w:t xml:space="preserve"> as well as expenditure against budget</w:t>
      </w:r>
      <w:r w:rsidRPr="003A7C45">
        <w:t xml:space="preserve">. There are different monitoring / reporting systems available, however a simple approach is the traffic light system that </w:t>
      </w:r>
      <w:r w:rsidR="00C70808" w:rsidRPr="003A7C45">
        <w:t>uses red</w:t>
      </w:r>
      <w:r w:rsidRPr="003A7C45">
        <w:t xml:space="preserve"> / amber / green indicators to help identify whether targets are met / on track to be met / or </w:t>
      </w:r>
      <w:r w:rsidRPr="00916843">
        <w:t>are not met. This makes it clearer which areas require focus to get them back on track.</w:t>
      </w:r>
    </w:p>
    <w:p w14:paraId="4B2762D1" w14:textId="77777777" w:rsidR="005110B2" w:rsidRPr="005110B2" w:rsidRDefault="005110B2" w:rsidP="00AE785D">
      <w:pPr>
        <w:pStyle w:val="BodyText-parastyle"/>
      </w:pPr>
      <w:r w:rsidRPr="00916843">
        <w:t>Detail on progress and spend against target / budget as well as monitoring of risk and actions required should be reported by all funded projects to facilitate assessment at a programme level</w:t>
      </w:r>
      <w:r w:rsidR="000D21AB" w:rsidRPr="00916843">
        <w:t xml:space="preserve">; it is understood that this will be part of the new section 75 agreements with ECC going forward (see section </w:t>
      </w:r>
      <w:r w:rsidR="00916843" w:rsidRPr="00916843">
        <w:t>9</w:t>
      </w:r>
      <w:r w:rsidR="000D21AB" w:rsidRPr="00916843">
        <w:t>).</w:t>
      </w:r>
    </w:p>
    <w:p w14:paraId="4106B85A" w14:textId="77777777" w:rsidR="005110B2" w:rsidRDefault="005110B2" w:rsidP="00AE785D">
      <w:pPr>
        <w:pStyle w:val="BodyText-parastyle"/>
      </w:pPr>
    </w:p>
    <w:p w14:paraId="39DB3906" w14:textId="77777777" w:rsidR="005110B2" w:rsidRDefault="005110B2" w:rsidP="00AE785D">
      <w:pPr>
        <w:pStyle w:val="BodyText-parastyle"/>
      </w:pPr>
    </w:p>
    <w:p w14:paraId="2A277D56" w14:textId="77777777" w:rsidR="005110B2" w:rsidRDefault="005110B2" w:rsidP="00AE785D">
      <w:pPr>
        <w:pStyle w:val="BodyText-parastyle"/>
      </w:pPr>
    </w:p>
    <w:p w14:paraId="48002422" w14:textId="77777777" w:rsidR="005110B2" w:rsidRDefault="005110B2" w:rsidP="00AE785D">
      <w:pPr>
        <w:pStyle w:val="BodyText-parastyle"/>
      </w:pPr>
    </w:p>
    <w:p w14:paraId="487708AA" w14:textId="77777777" w:rsidR="005110B2" w:rsidRDefault="005110B2" w:rsidP="00AE785D">
      <w:pPr>
        <w:pStyle w:val="BodyText-parastyle"/>
      </w:pPr>
    </w:p>
    <w:p w14:paraId="19943335" w14:textId="289FE2F1" w:rsidR="00760EA4" w:rsidRDefault="00760EA4" w:rsidP="006C34B6">
      <w:pPr>
        <w:pStyle w:val="Heading1"/>
        <w:keepNext w:val="0"/>
        <w:keepLines w:val="0"/>
        <w:numPr>
          <w:ilvl w:val="0"/>
          <w:numId w:val="1"/>
        </w:numPr>
        <w:spacing w:before="240" w:line="288" w:lineRule="auto"/>
        <w:ind w:left="709" w:hanging="709"/>
      </w:pPr>
      <w:bookmarkStart w:id="41" w:name="_Toc497934271"/>
      <w:r>
        <w:lastRenderedPageBreak/>
        <w:t>Indicators</w:t>
      </w:r>
      <w:bookmarkEnd w:id="41"/>
      <w:r>
        <w:t xml:space="preserve"> </w:t>
      </w:r>
    </w:p>
    <w:p w14:paraId="657D3CBD" w14:textId="77777777" w:rsidR="00760EA4" w:rsidRDefault="00760EA4" w:rsidP="00760EA4">
      <w:pPr>
        <w:pStyle w:val="Heading2"/>
      </w:pPr>
      <w:bookmarkStart w:id="42" w:name="_Toc497934272"/>
      <w:r>
        <w:t>Introduction</w:t>
      </w:r>
      <w:bookmarkEnd w:id="42"/>
    </w:p>
    <w:p w14:paraId="108FF940" w14:textId="77777777" w:rsidR="00760EA4" w:rsidRDefault="00760EA4" w:rsidP="00AE785D">
      <w:pPr>
        <w:pStyle w:val="BodyText-parastyle"/>
      </w:pPr>
      <w:r>
        <w:t>This section provides an assessment of the indicators used by the pilot Social Prescribing projects and suggested future areas for development.</w:t>
      </w:r>
    </w:p>
    <w:p w14:paraId="7E59D6E0" w14:textId="1DA24CCB" w:rsidR="00760EA4" w:rsidRDefault="00760EA4" w:rsidP="00760EA4">
      <w:pPr>
        <w:pStyle w:val="Heading2"/>
        <w:numPr>
          <w:ilvl w:val="1"/>
          <w:numId w:val="1"/>
        </w:numPr>
        <w:tabs>
          <w:tab w:val="clear" w:pos="3349"/>
          <w:tab w:val="num" w:pos="567"/>
        </w:tabs>
        <w:ind w:left="567" w:hanging="567"/>
      </w:pPr>
      <w:bookmarkStart w:id="43" w:name="_Toc497934273"/>
      <w:r>
        <w:t>Assessment</w:t>
      </w:r>
      <w:bookmarkEnd w:id="43"/>
    </w:p>
    <w:p w14:paraId="57954C48" w14:textId="77777777" w:rsidR="00760EA4" w:rsidRDefault="00760EA4" w:rsidP="00AE785D">
      <w:pPr>
        <w:pStyle w:val="BodyText-parastyle"/>
      </w:pPr>
      <w:r>
        <w:t xml:space="preserve">While the Social Prescribing business case (June 2015) outlines the initial locality specific approaches for each project, it </w:t>
      </w:r>
      <w:r w:rsidR="00826506">
        <w:t xml:space="preserve">was not possible to </w:t>
      </w:r>
      <w:r>
        <w:t>provide a detailed intervention logic or rationale for each model</w:t>
      </w:r>
      <w:r w:rsidR="00826506">
        <w:t xml:space="preserve"> as in most cases they were not </w:t>
      </w:r>
      <w:r w:rsidR="003B6F39">
        <w:t xml:space="preserve">yet </w:t>
      </w:r>
      <w:r w:rsidR="00826506">
        <w:t>commissioned</w:t>
      </w:r>
      <w:r w:rsidR="00450795">
        <w:t xml:space="preserve">. </w:t>
      </w:r>
      <w:r>
        <w:t xml:space="preserve">In addition </w:t>
      </w:r>
      <w:r w:rsidR="003B6F39" w:rsidRPr="00F01BE0">
        <w:t xml:space="preserve">the terms of reference for </w:t>
      </w:r>
      <w:r w:rsidR="003B6F39" w:rsidRPr="00916843">
        <w:t>this evaluation (section 2.5)</w:t>
      </w:r>
      <w:r w:rsidR="003B6F39">
        <w:t xml:space="preserve"> were not covered in </w:t>
      </w:r>
      <w:r>
        <w:t xml:space="preserve">the locality contracts/ SLAs </w:t>
      </w:r>
      <w:r w:rsidR="003B6F39">
        <w:t xml:space="preserve">as they had not been agreed when the contracts were issued. </w:t>
      </w:r>
      <w:r>
        <w:t xml:space="preserve">The following table summarises how the project targets link to the outcomes being measured by the evaluation. </w:t>
      </w:r>
    </w:p>
    <w:p w14:paraId="159C3835" w14:textId="77777777" w:rsidR="00760EA4" w:rsidRDefault="00760EA4" w:rsidP="00CD4614">
      <w:pPr>
        <w:pStyle w:val="IntenseQuote"/>
        <w:rPr>
          <w:lang w:val="en-GB"/>
        </w:rPr>
      </w:pPr>
      <w:r>
        <w:t xml:space="preserve">Table </w:t>
      </w:r>
      <w:r w:rsidR="00603E87">
        <w:fldChar w:fldCharType="begin"/>
      </w:r>
      <w:r w:rsidR="00603E87">
        <w:instrText xml:space="preserve"> STYLEREF 1 \s </w:instrText>
      </w:r>
      <w:r w:rsidR="00603E87">
        <w:fldChar w:fldCharType="separate"/>
      </w:r>
      <w:r w:rsidR="00F006C8">
        <w:rPr>
          <w:noProof/>
        </w:rPr>
        <w:t>5</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w:t>
      </w:r>
      <w:r w:rsidR="00603E87">
        <w:fldChar w:fldCharType="end"/>
      </w:r>
      <w:r>
        <w:t>: Locality Models Objectives and Targets</w:t>
      </w:r>
    </w:p>
    <w:tbl>
      <w:tblPr>
        <w:tblStyle w:val="ForfasTableGrid1"/>
        <w:tblW w:w="9634" w:type="dxa"/>
        <w:tblLook w:val="04A0" w:firstRow="1" w:lastRow="0" w:firstColumn="1" w:lastColumn="0" w:noHBand="0" w:noVBand="1"/>
      </w:tblPr>
      <w:tblGrid>
        <w:gridCol w:w="1173"/>
        <w:gridCol w:w="1745"/>
        <w:gridCol w:w="1745"/>
        <w:gridCol w:w="1746"/>
        <w:gridCol w:w="1745"/>
        <w:gridCol w:w="1480"/>
      </w:tblGrid>
      <w:tr w:rsidR="00234FBE" w14:paraId="58ACA881" w14:textId="77777777" w:rsidTr="00E16733">
        <w:trPr>
          <w:cnfStyle w:val="100000000000" w:firstRow="1" w:lastRow="0" w:firstColumn="0" w:lastColumn="0" w:oddVBand="0" w:evenVBand="0" w:oddHBand="0" w:evenHBand="0" w:firstRowFirstColumn="0" w:firstRowLastColumn="0" w:lastRowFirstColumn="0" w:lastRowLastColumn="0"/>
          <w:trHeight w:val="570"/>
          <w:tblHeader/>
        </w:trPr>
        <w:tc>
          <w:tcPr>
            <w:tcW w:w="1173" w:type="dxa"/>
            <w:vMerge w:val="restart"/>
          </w:tcPr>
          <w:p w14:paraId="2524F8C3" w14:textId="77777777" w:rsidR="00234FBE" w:rsidRDefault="00234FBE" w:rsidP="00E16733">
            <w:pPr>
              <w:pStyle w:val="TableHeading"/>
              <w:spacing w:after="0"/>
            </w:pPr>
            <w:r>
              <w:t xml:space="preserve">Locality </w:t>
            </w:r>
          </w:p>
        </w:tc>
        <w:tc>
          <w:tcPr>
            <w:tcW w:w="8461" w:type="dxa"/>
            <w:gridSpan w:val="5"/>
          </w:tcPr>
          <w:p w14:paraId="16680A76" w14:textId="77777777" w:rsidR="00234FBE" w:rsidRDefault="00234FBE" w:rsidP="00E16733">
            <w:pPr>
              <w:pStyle w:val="TableHeading"/>
              <w:spacing w:after="0"/>
            </w:pPr>
            <w:r>
              <w:t xml:space="preserve">KPIs that link to the evaluation primary outcomes and secondary outcomes. </w:t>
            </w:r>
          </w:p>
          <w:p w14:paraId="30661E7F" w14:textId="77777777" w:rsidR="00234FBE" w:rsidRPr="00651B48" w:rsidRDefault="00234FBE" w:rsidP="00E16733">
            <w:pPr>
              <w:pStyle w:val="TableHeading"/>
              <w:spacing w:after="0"/>
            </w:pPr>
            <w:r w:rsidRPr="009D1464">
              <w:rPr>
                <w:u w:val="single"/>
              </w:rPr>
              <w:t xml:space="preserve">Direct </w:t>
            </w:r>
            <w:r>
              <w:rPr>
                <w:u w:val="single"/>
              </w:rPr>
              <w:t>Measurement of:</w:t>
            </w:r>
          </w:p>
        </w:tc>
      </w:tr>
      <w:tr w:rsidR="00234FBE" w14:paraId="59BBDE94" w14:textId="77777777" w:rsidTr="00E16733">
        <w:trPr>
          <w:cnfStyle w:val="100000000000" w:firstRow="1" w:lastRow="0" w:firstColumn="0" w:lastColumn="0" w:oddVBand="0" w:evenVBand="0" w:oddHBand="0" w:evenHBand="0" w:firstRowFirstColumn="0" w:firstRowLastColumn="0" w:lastRowFirstColumn="0" w:lastRowLastColumn="0"/>
          <w:trHeight w:val="570"/>
          <w:tblHeader/>
        </w:trPr>
        <w:tc>
          <w:tcPr>
            <w:tcW w:w="1173" w:type="dxa"/>
            <w:vMerge/>
          </w:tcPr>
          <w:p w14:paraId="72C949CE" w14:textId="77777777" w:rsidR="00234FBE" w:rsidRDefault="00234FBE" w:rsidP="00E16733">
            <w:pPr>
              <w:pStyle w:val="TableParagraph"/>
              <w:spacing w:after="0"/>
            </w:pPr>
          </w:p>
        </w:tc>
        <w:tc>
          <w:tcPr>
            <w:tcW w:w="1745" w:type="dxa"/>
          </w:tcPr>
          <w:p w14:paraId="2F216816" w14:textId="77777777" w:rsidR="00234FBE" w:rsidRPr="00FE682F" w:rsidRDefault="00234FBE" w:rsidP="00E16733">
            <w:pPr>
              <w:pStyle w:val="TableParagraph"/>
              <w:spacing w:after="0"/>
              <w:rPr>
                <w:color w:val="FFFFFF" w:themeColor="background1"/>
              </w:rPr>
            </w:pPr>
            <w:r w:rsidRPr="00FE682F">
              <w:rPr>
                <w:color w:val="FFFFFF" w:themeColor="background1"/>
              </w:rPr>
              <w:t xml:space="preserve">Primary care use by </w:t>
            </w:r>
            <w:r>
              <w:rPr>
                <w:color w:val="FFFFFF" w:themeColor="background1"/>
              </w:rPr>
              <w:t>service users</w:t>
            </w:r>
          </w:p>
        </w:tc>
        <w:tc>
          <w:tcPr>
            <w:tcW w:w="1745" w:type="dxa"/>
          </w:tcPr>
          <w:p w14:paraId="2FA2DE66" w14:textId="77777777" w:rsidR="00234FBE" w:rsidRPr="00FE682F" w:rsidRDefault="00234FBE" w:rsidP="00E16733">
            <w:pPr>
              <w:pStyle w:val="TableParagraph"/>
              <w:spacing w:after="0"/>
              <w:rPr>
                <w:color w:val="FFFFFF" w:themeColor="background1"/>
              </w:rPr>
            </w:pPr>
            <w:r w:rsidRPr="00FE682F">
              <w:rPr>
                <w:color w:val="FFFFFF" w:themeColor="background1"/>
              </w:rPr>
              <w:t>Secondary care use</w:t>
            </w:r>
          </w:p>
        </w:tc>
        <w:tc>
          <w:tcPr>
            <w:tcW w:w="1746" w:type="dxa"/>
          </w:tcPr>
          <w:p w14:paraId="163AB0B2" w14:textId="77777777" w:rsidR="00234FBE" w:rsidRPr="00FE682F" w:rsidRDefault="00234FBE" w:rsidP="00E16733">
            <w:pPr>
              <w:pStyle w:val="TableParagraph"/>
              <w:spacing w:after="0"/>
              <w:rPr>
                <w:color w:val="FFFFFF" w:themeColor="background1"/>
              </w:rPr>
            </w:pPr>
            <w:r w:rsidRPr="00FE682F">
              <w:rPr>
                <w:color w:val="FFFFFF" w:themeColor="background1"/>
              </w:rPr>
              <w:t>Social care use</w:t>
            </w:r>
          </w:p>
        </w:tc>
        <w:tc>
          <w:tcPr>
            <w:tcW w:w="1745" w:type="dxa"/>
          </w:tcPr>
          <w:p w14:paraId="649954A2" w14:textId="77777777" w:rsidR="00234FBE" w:rsidRPr="00FE682F" w:rsidRDefault="00234FBE" w:rsidP="00E16733">
            <w:pPr>
              <w:pStyle w:val="TableParagraph"/>
              <w:spacing w:after="0"/>
              <w:rPr>
                <w:color w:val="FFFFFF" w:themeColor="background1"/>
              </w:rPr>
            </w:pPr>
            <w:r w:rsidRPr="00FE682F">
              <w:rPr>
                <w:color w:val="FFFFFF" w:themeColor="background1"/>
              </w:rPr>
              <w:t>Impact on mental wellbeing, social isolation and general health</w:t>
            </w:r>
          </w:p>
        </w:tc>
        <w:tc>
          <w:tcPr>
            <w:tcW w:w="1480" w:type="dxa"/>
          </w:tcPr>
          <w:p w14:paraId="6950BEFD" w14:textId="77777777" w:rsidR="00234FBE" w:rsidRPr="00FE682F" w:rsidRDefault="00234FBE" w:rsidP="00E16733">
            <w:pPr>
              <w:pStyle w:val="TableParagraph"/>
              <w:spacing w:after="0"/>
              <w:rPr>
                <w:color w:val="FFFFFF" w:themeColor="background1"/>
              </w:rPr>
            </w:pPr>
            <w:r w:rsidRPr="00FE682F">
              <w:rPr>
                <w:color w:val="FFFFFF" w:themeColor="background1"/>
              </w:rPr>
              <w:t>Patient experience of Social Prescribing</w:t>
            </w:r>
          </w:p>
        </w:tc>
      </w:tr>
      <w:tr w:rsidR="00760EA4" w14:paraId="5338632F" w14:textId="77777777" w:rsidTr="00E16733">
        <w:trPr>
          <w:cnfStyle w:val="000000100000" w:firstRow="0" w:lastRow="0" w:firstColumn="0" w:lastColumn="0" w:oddVBand="0" w:evenVBand="0" w:oddHBand="1" w:evenHBand="0" w:firstRowFirstColumn="0" w:firstRowLastColumn="0" w:lastRowFirstColumn="0" w:lastRowLastColumn="0"/>
          <w:trHeight w:val="948"/>
        </w:trPr>
        <w:tc>
          <w:tcPr>
            <w:tcW w:w="1173" w:type="dxa"/>
          </w:tcPr>
          <w:p w14:paraId="1756B879" w14:textId="77777777" w:rsidR="00760EA4" w:rsidRDefault="00760EA4" w:rsidP="00E16733">
            <w:pPr>
              <w:pStyle w:val="TableParagraph"/>
              <w:spacing w:after="0"/>
            </w:pPr>
            <w:r>
              <w:t>Basildon and Brentwood</w:t>
            </w:r>
          </w:p>
        </w:tc>
        <w:tc>
          <w:tcPr>
            <w:tcW w:w="1745" w:type="dxa"/>
          </w:tcPr>
          <w:p w14:paraId="74EFB23A"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2A9544B9" w14:textId="77777777" w:rsidR="00760EA4" w:rsidRDefault="00760EA4" w:rsidP="00E16733">
            <w:pPr>
              <w:pStyle w:val="TableParagraph"/>
              <w:spacing w:after="0"/>
              <w:jc w:val="center"/>
            </w:pPr>
          </w:p>
        </w:tc>
        <w:tc>
          <w:tcPr>
            <w:tcW w:w="1746" w:type="dxa"/>
          </w:tcPr>
          <w:p w14:paraId="3B7A252E" w14:textId="77777777" w:rsidR="00760EA4" w:rsidRDefault="00760EA4" w:rsidP="00E16733">
            <w:pPr>
              <w:pStyle w:val="TableParagraph"/>
              <w:spacing w:after="0"/>
              <w:jc w:val="center"/>
            </w:pPr>
          </w:p>
        </w:tc>
        <w:tc>
          <w:tcPr>
            <w:tcW w:w="1745" w:type="dxa"/>
          </w:tcPr>
          <w:p w14:paraId="57F1237C"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58EB3AB7" w14:textId="77777777" w:rsidR="00760EA4" w:rsidRDefault="00760EA4" w:rsidP="00E16733">
            <w:pPr>
              <w:pStyle w:val="TableParagraph"/>
              <w:spacing w:after="0"/>
              <w:jc w:val="center"/>
            </w:pPr>
            <w:r>
              <w:rPr>
                <w:rFonts w:ascii="Segoe UI Symbol" w:hAnsi="Segoe UI Symbol" w:cs="Segoe UI Symbol"/>
                <w:color w:val="333333"/>
              </w:rPr>
              <w:t>✓</w:t>
            </w:r>
          </w:p>
        </w:tc>
      </w:tr>
      <w:tr w:rsidR="00760EA4" w14:paraId="5FB1ABFB" w14:textId="77777777" w:rsidTr="00E16733">
        <w:trPr>
          <w:cnfStyle w:val="000000010000" w:firstRow="0" w:lastRow="0" w:firstColumn="0" w:lastColumn="0" w:oddVBand="0" w:evenVBand="0" w:oddHBand="0" w:evenHBand="1" w:firstRowFirstColumn="0" w:firstRowLastColumn="0" w:lastRowFirstColumn="0" w:lastRowLastColumn="0"/>
          <w:trHeight w:val="948"/>
        </w:trPr>
        <w:tc>
          <w:tcPr>
            <w:tcW w:w="1173" w:type="dxa"/>
          </w:tcPr>
          <w:p w14:paraId="3541E0B6" w14:textId="77777777" w:rsidR="00760EA4" w:rsidRDefault="00760EA4" w:rsidP="00E16733">
            <w:pPr>
              <w:pStyle w:val="TableParagraph"/>
              <w:spacing w:after="0"/>
            </w:pPr>
            <w:r>
              <w:t xml:space="preserve">Castle Point and Rochford </w:t>
            </w:r>
          </w:p>
        </w:tc>
        <w:tc>
          <w:tcPr>
            <w:tcW w:w="1745" w:type="dxa"/>
          </w:tcPr>
          <w:p w14:paraId="3B566967"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7D167299" w14:textId="77777777" w:rsidR="00760EA4" w:rsidRDefault="00760EA4" w:rsidP="00E16733">
            <w:pPr>
              <w:pStyle w:val="TableParagraph"/>
              <w:spacing w:after="0"/>
              <w:jc w:val="center"/>
            </w:pPr>
          </w:p>
        </w:tc>
        <w:tc>
          <w:tcPr>
            <w:tcW w:w="1746" w:type="dxa"/>
          </w:tcPr>
          <w:p w14:paraId="61376425" w14:textId="77777777" w:rsidR="00760EA4" w:rsidRDefault="00760EA4" w:rsidP="00E16733">
            <w:pPr>
              <w:pStyle w:val="TableParagraph"/>
              <w:spacing w:after="0"/>
              <w:jc w:val="center"/>
            </w:pPr>
          </w:p>
        </w:tc>
        <w:tc>
          <w:tcPr>
            <w:tcW w:w="1745" w:type="dxa"/>
          </w:tcPr>
          <w:p w14:paraId="2509D65B"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05711EA7" w14:textId="77777777" w:rsidR="00760EA4" w:rsidRDefault="00760EA4" w:rsidP="00E16733">
            <w:pPr>
              <w:pStyle w:val="TableParagraph"/>
              <w:spacing w:after="0"/>
              <w:jc w:val="center"/>
            </w:pPr>
            <w:r>
              <w:rPr>
                <w:rFonts w:ascii="Segoe UI Symbol" w:hAnsi="Segoe UI Symbol" w:cs="Segoe UI Symbol"/>
                <w:color w:val="333333"/>
              </w:rPr>
              <w:t>✓</w:t>
            </w:r>
          </w:p>
        </w:tc>
      </w:tr>
      <w:tr w:rsidR="00760EA4" w14:paraId="571A754A" w14:textId="77777777" w:rsidTr="00E16733">
        <w:trPr>
          <w:cnfStyle w:val="000000100000" w:firstRow="0" w:lastRow="0" w:firstColumn="0" w:lastColumn="0" w:oddVBand="0" w:evenVBand="0" w:oddHBand="1" w:evenHBand="0" w:firstRowFirstColumn="0" w:firstRowLastColumn="0" w:lastRowFirstColumn="0" w:lastRowLastColumn="0"/>
          <w:trHeight w:val="948"/>
        </w:trPr>
        <w:tc>
          <w:tcPr>
            <w:tcW w:w="1173" w:type="dxa"/>
          </w:tcPr>
          <w:p w14:paraId="3E1FA8AE" w14:textId="77777777" w:rsidR="00760EA4" w:rsidRDefault="00760EA4" w:rsidP="00E16733">
            <w:pPr>
              <w:pStyle w:val="TableParagraph"/>
              <w:spacing w:after="0"/>
            </w:pPr>
            <w:r>
              <w:t>North East Essex- Tendring</w:t>
            </w:r>
          </w:p>
        </w:tc>
        <w:tc>
          <w:tcPr>
            <w:tcW w:w="1745" w:type="dxa"/>
          </w:tcPr>
          <w:p w14:paraId="5F96F5A6"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3D5AC45C" w14:textId="77777777" w:rsidR="00760EA4" w:rsidRDefault="00760EA4" w:rsidP="00E16733">
            <w:pPr>
              <w:pStyle w:val="TableParagraph"/>
              <w:spacing w:after="0"/>
              <w:jc w:val="center"/>
            </w:pPr>
            <w:r>
              <w:rPr>
                <w:rFonts w:ascii="Segoe UI Symbol" w:hAnsi="Segoe UI Symbol" w:cs="Segoe UI Symbol"/>
                <w:color w:val="333333"/>
              </w:rPr>
              <w:t>✓</w:t>
            </w:r>
          </w:p>
        </w:tc>
        <w:tc>
          <w:tcPr>
            <w:tcW w:w="1746" w:type="dxa"/>
          </w:tcPr>
          <w:p w14:paraId="5E2BDC34" w14:textId="77777777" w:rsidR="00760EA4" w:rsidRDefault="00760EA4" w:rsidP="00E16733">
            <w:pPr>
              <w:pStyle w:val="TableParagraph"/>
              <w:spacing w:after="0"/>
              <w:jc w:val="center"/>
            </w:pPr>
          </w:p>
        </w:tc>
        <w:tc>
          <w:tcPr>
            <w:tcW w:w="1745" w:type="dxa"/>
          </w:tcPr>
          <w:p w14:paraId="53ABAE7A"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7C515442" w14:textId="77777777" w:rsidR="00760EA4" w:rsidRDefault="00760EA4" w:rsidP="00E16733">
            <w:pPr>
              <w:pStyle w:val="TableParagraph"/>
              <w:spacing w:after="0"/>
              <w:jc w:val="center"/>
            </w:pPr>
          </w:p>
        </w:tc>
      </w:tr>
      <w:tr w:rsidR="00760EA4" w14:paraId="6021A12E" w14:textId="77777777" w:rsidTr="00E16733">
        <w:trPr>
          <w:cnfStyle w:val="000000010000" w:firstRow="0" w:lastRow="0" w:firstColumn="0" w:lastColumn="0" w:oddVBand="0" w:evenVBand="0" w:oddHBand="0" w:evenHBand="1" w:firstRowFirstColumn="0" w:firstRowLastColumn="0" w:lastRowFirstColumn="0" w:lastRowLastColumn="0"/>
          <w:trHeight w:val="948"/>
        </w:trPr>
        <w:tc>
          <w:tcPr>
            <w:tcW w:w="1173" w:type="dxa"/>
          </w:tcPr>
          <w:p w14:paraId="2D1287E7" w14:textId="77777777" w:rsidR="00760EA4" w:rsidRDefault="00760EA4" w:rsidP="00E16733">
            <w:pPr>
              <w:pStyle w:val="TableParagraph"/>
              <w:spacing w:after="0"/>
            </w:pPr>
            <w:r>
              <w:t>North East Essex - Colchester</w:t>
            </w:r>
          </w:p>
        </w:tc>
        <w:tc>
          <w:tcPr>
            <w:tcW w:w="1745" w:type="dxa"/>
          </w:tcPr>
          <w:p w14:paraId="3AF47199"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4EB6DBC3" w14:textId="77777777" w:rsidR="00760EA4" w:rsidRDefault="00760EA4" w:rsidP="00E16733">
            <w:pPr>
              <w:pStyle w:val="TableParagraph"/>
              <w:spacing w:after="0"/>
              <w:jc w:val="center"/>
            </w:pPr>
          </w:p>
        </w:tc>
        <w:tc>
          <w:tcPr>
            <w:tcW w:w="1746" w:type="dxa"/>
          </w:tcPr>
          <w:p w14:paraId="5819B83B" w14:textId="77777777" w:rsidR="00760EA4" w:rsidRDefault="00760EA4" w:rsidP="00E16733">
            <w:pPr>
              <w:pStyle w:val="TableParagraph"/>
              <w:spacing w:after="0"/>
              <w:jc w:val="center"/>
            </w:pPr>
          </w:p>
        </w:tc>
        <w:tc>
          <w:tcPr>
            <w:tcW w:w="1745" w:type="dxa"/>
          </w:tcPr>
          <w:p w14:paraId="6DBD9AF4"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1DEE7595" w14:textId="77777777" w:rsidR="00760EA4" w:rsidRDefault="00760EA4" w:rsidP="00E16733">
            <w:pPr>
              <w:pStyle w:val="TableParagraph"/>
              <w:spacing w:after="0"/>
              <w:jc w:val="center"/>
            </w:pPr>
          </w:p>
        </w:tc>
      </w:tr>
      <w:tr w:rsidR="00760EA4" w14:paraId="50B43B54" w14:textId="77777777" w:rsidTr="00E16733">
        <w:trPr>
          <w:cnfStyle w:val="000000100000" w:firstRow="0" w:lastRow="0" w:firstColumn="0" w:lastColumn="0" w:oddVBand="0" w:evenVBand="0" w:oddHBand="1" w:evenHBand="0" w:firstRowFirstColumn="0" w:firstRowLastColumn="0" w:lastRowFirstColumn="0" w:lastRowLastColumn="0"/>
          <w:trHeight w:val="948"/>
        </w:trPr>
        <w:tc>
          <w:tcPr>
            <w:tcW w:w="1173" w:type="dxa"/>
          </w:tcPr>
          <w:p w14:paraId="05314991" w14:textId="77777777" w:rsidR="00760EA4" w:rsidRDefault="00760EA4" w:rsidP="00E16733">
            <w:pPr>
              <w:pStyle w:val="TableParagraph"/>
              <w:spacing w:after="0"/>
            </w:pPr>
            <w:r>
              <w:lastRenderedPageBreak/>
              <w:t>Mid Essex</w:t>
            </w:r>
            <w:r>
              <w:rPr>
                <w:rStyle w:val="FootnoteReference"/>
                <w:sz w:val="22"/>
                <w:szCs w:val="22"/>
              </w:rPr>
              <w:footnoteReference w:id="59"/>
            </w:r>
          </w:p>
        </w:tc>
        <w:tc>
          <w:tcPr>
            <w:tcW w:w="1745" w:type="dxa"/>
          </w:tcPr>
          <w:p w14:paraId="4EDFE9B6"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7F15C122" w14:textId="77777777" w:rsidR="00760EA4" w:rsidRDefault="00760EA4" w:rsidP="00E16733">
            <w:pPr>
              <w:pStyle w:val="TableParagraph"/>
              <w:spacing w:after="0"/>
              <w:jc w:val="center"/>
            </w:pPr>
            <w:r>
              <w:rPr>
                <w:rFonts w:ascii="Segoe UI Symbol" w:hAnsi="Segoe UI Symbol" w:cs="Segoe UI Symbol"/>
                <w:color w:val="333333"/>
              </w:rPr>
              <w:t>✓</w:t>
            </w:r>
          </w:p>
        </w:tc>
        <w:tc>
          <w:tcPr>
            <w:tcW w:w="1746" w:type="dxa"/>
          </w:tcPr>
          <w:p w14:paraId="009F2347"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7418F9E3"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7D3761EA" w14:textId="77777777" w:rsidR="00760EA4" w:rsidRDefault="00760EA4" w:rsidP="00E16733">
            <w:pPr>
              <w:pStyle w:val="TableParagraph"/>
              <w:spacing w:after="0"/>
              <w:jc w:val="center"/>
            </w:pPr>
          </w:p>
        </w:tc>
      </w:tr>
      <w:tr w:rsidR="00760EA4" w14:paraId="7586A93C" w14:textId="77777777" w:rsidTr="00E16733">
        <w:trPr>
          <w:cnfStyle w:val="000000010000" w:firstRow="0" w:lastRow="0" w:firstColumn="0" w:lastColumn="0" w:oddVBand="0" w:evenVBand="0" w:oddHBand="0" w:evenHBand="1" w:firstRowFirstColumn="0" w:firstRowLastColumn="0" w:lastRowFirstColumn="0" w:lastRowLastColumn="0"/>
          <w:trHeight w:val="948"/>
        </w:trPr>
        <w:tc>
          <w:tcPr>
            <w:tcW w:w="1173" w:type="dxa"/>
          </w:tcPr>
          <w:p w14:paraId="2D54DFF5" w14:textId="77777777" w:rsidR="00760EA4" w:rsidRDefault="00760EA4" w:rsidP="00E16733">
            <w:pPr>
              <w:pStyle w:val="TableParagraph"/>
              <w:spacing w:after="0"/>
            </w:pPr>
            <w:r>
              <w:t>West Essex</w:t>
            </w:r>
          </w:p>
        </w:tc>
        <w:tc>
          <w:tcPr>
            <w:tcW w:w="1745" w:type="dxa"/>
          </w:tcPr>
          <w:p w14:paraId="2C2076B3" w14:textId="77777777" w:rsidR="00760EA4" w:rsidRDefault="00760EA4" w:rsidP="00E16733">
            <w:pPr>
              <w:pStyle w:val="TableParagraph"/>
              <w:spacing w:after="0"/>
              <w:jc w:val="center"/>
            </w:pPr>
            <w:r>
              <w:rPr>
                <w:rFonts w:ascii="Segoe UI Symbol" w:hAnsi="Segoe UI Symbol" w:cs="Segoe UI Symbol"/>
                <w:color w:val="333333"/>
              </w:rPr>
              <w:t>✓</w:t>
            </w:r>
          </w:p>
        </w:tc>
        <w:tc>
          <w:tcPr>
            <w:tcW w:w="1745" w:type="dxa"/>
          </w:tcPr>
          <w:p w14:paraId="74766972" w14:textId="77777777" w:rsidR="00760EA4" w:rsidRDefault="00760EA4" w:rsidP="00E16733">
            <w:pPr>
              <w:pStyle w:val="TableParagraph"/>
              <w:spacing w:after="0"/>
              <w:jc w:val="center"/>
            </w:pPr>
            <w:r>
              <w:rPr>
                <w:rFonts w:ascii="Segoe UI Symbol" w:hAnsi="Segoe UI Symbol" w:cs="Segoe UI Symbol"/>
                <w:color w:val="333333"/>
              </w:rPr>
              <w:t>✓</w:t>
            </w:r>
          </w:p>
        </w:tc>
        <w:tc>
          <w:tcPr>
            <w:tcW w:w="1746" w:type="dxa"/>
          </w:tcPr>
          <w:p w14:paraId="7DB831FF" w14:textId="77777777" w:rsidR="00760EA4" w:rsidRDefault="00760EA4" w:rsidP="00E16733">
            <w:pPr>
              <w:pStyle w:val="TableParagraph"/>
              <w:spacing w:after="0"/>
              <w:jc w:val="center"/>
            </w:pPr>
          </w:p>
        </w:tc>
        <w:tc>
          <w:tcPr>
            <w:tcW w:w="1745" w:type="dxa"/>
          </w:tcPr>
          <w:p w14:paraId="1E62FFF2"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5701A793" w14:textId="77777777" w:rsidR="00760EA4" w:rsidRDefault="00760EA4" w:rsidP="00E16733">
            <w:pPr>
              <w:pStyle w:val="TableParagraph"/>
              <w:spacing w:after="0"/>
              <w:jc w:val="center"/>
            </w:pPr>
          </w:p>
        </w:tc>
      </w:tr>
      <w:tr w:rsidR="00760EA4" w14:paraId="51597CB7" w14:textId="77777777" w:rsidTr="00E16733">
        <w:trPr>
          <w:cnfStyle w:val="000000100000" w:firstRow="0" w:lastRow="0" w:firstColumn="0" w:lastColumn="0" w:oddVBand="0" w:evenVBand="0" w:oddHBand="1" w:evenHBand="0" w:firstRowFirstColumn="0" w:firstRowLastColumn="0" w:lastRowFirstColumn="0" w:lastRowLastColumn="0"/>
          <w:trHeight w:val="948"/>
        </w:trPr>
        <w:tc>
          <w:tcPr>
            <w:tcW w:w="1173" w:type="dxa"/>
          </w:tcPr>
          <w:p w14:paraId="4A176625" w14:textId="77777777" w:rsidR="00760EA4" w:rsidRDefault="00760EA4" w:rsidP="00E16733">
            <w:pPr>
              <w:pStyle w:val="TableParagraph"/>
              <w:spacing w:after="0"/>
            </w:pPr>
            <w:r>
              <w:t>Southend</w:t>
            </w:r>
          </w:p>
        </w:tc>
        <w:tc>
          <w:tcPr>
            <w:tcW w:w="1745" w:type="dxa"/>
          </w:tcPr>
          <w:p w14:paraId="7EB68350" w14:textId="77777777" w:rsidR="00760EA4" w:rsidRDefault="00760EA4" w:rsidP="00E16733">
            <w:pPr>
              <w:pStyle w:val="TableParagraph"/>
              <w:spacing w:after="0"/>
              <w:jc w:val="center"/>
            </w:pPr>
          </w:p>
        </w:tc>
        <w:tc>
          <w:tcPr>
            <w:tcW w:w="1745" w:type="dxa"/>
          </w:tcPr>
          <w:p w14:paraId="3AD88727" w14:textId="77777777" w:rsidR="00760EA4" w:rsidRDefault="00760EA4" w:rsidP="00E16733">
            <w:pPr>
              <w:pStyle w:val="TableParagraph"/>
              <w:spacing w:after="0"/>
              <w:jc w:val="center"/>
            </w:pPr>
            <w:r>
              <w:rPr>
                <w:rFonts w:ascii="Segoe UI Symbol" w:hAnsi="Segoe UI Symbol" w:cs="Segoe UI Symbol"/>
                <w:color w:val="333333"/>
              </w:rPr>
              <w:t>✓</w:t>
            </w:r>
          </w:p>
        </w:tc>
        <w:tc>
          <w:tcPr>
            <w:tcW w:w="1746" w:type="dxa"/>
          </w:tcPr>
          <w:p w14:paraId="1FC5BD02" w14:textId="77777777" w:rsidR="00760EA4" w:rsidRDefault="00760EA4" w:rsidP="00E16733">
            <w:pPr>
              <w:pStyle w:val="TableParagraph"/>
              <w:spacing w:after="0"/>
              <w:jc w:val="center"/>
            </w:pPr>
          </w:p>
        </w:tc>
        <w:tc>
          <w:tcPr>
            <w:tcW w:w="1745" w:type="dxa"/>
          </w:tcPr>
          <w:p w14:paraId="7FF0C765" w14:textId="77777777" w:rsidR="00760EA4" w:rsidRDefault="00760EA4" w:rsidP="00E16733">
            <w:pPr>
              <w:pStyle w:val="TableParagraph"/>
              <w:spacing w:after="0"/>
              <w:jc w:val="center"/>
            </w:pPr>
            <w:r>
              <w:rPr>
                <w:rFonts w:ascii="Segoe UI Symbol" w:hAnsi="Segoe UI Symbol" w:cs="Segoe UI Symbol"/>
                <w:color w:val="333333"/>
              </w:rPr>
              <w:t>✓</w:t>
            </w:r>
          </w:p>
        </w:tc>
        <w:tc>
          <w:tcPr>
            <w:tcW w:w="1480" w:type="dxa"/>
          </w:tcPr>
          <w:p w14:paraId="531E6D71" w14:textId="77777777" w:rsidR="00760EA4" w:rsidRDefault="00760EA4" w:rsidP="00E16733">
            <w:pPr>
              <w:pStyle w:val="TableParagraph"/>
              <w:spacing w:after="0"/>
              <w:jc w:val="center"/>
            </w:pPr>
          </w:p>
        </w:tc>
      </w:tr>
    </w:tbl>
    <w:p w14:paraId="71124B33" w14:textId="77777777" w:rsidR="00760EA4" w:rsidRDefault="00760EA4" w:rsidP="00AE785D">
      <w:pPr>
        <w:pStyle w:val="BodyText-parastyle"/>
      </w:pPr>
    </w:p>
    <w:p w14:paraId="65DBD1BF" w14:textId="77777777" w:rsidR="00760EA4" w:rsidRDefault="00760EA4" w:rsidP="00AE785D">
      <w:pPr>
        <w:pStyle w:val="BodyText-parastyle"/>
      </w:pPr>
      <w:r>
        <w:t>The table above shows that not all projects ha</w:t>
      </w:r>
      <w:r w:rsidR="008207BA">
        <w:t>d</w:t>
      </w:r>
      <w:r>
        <w:t xml:space="preserve"> KPIs </w:t>
      </w:r>
      <w:r w:rsidR="008207BA">
        <w:t>linked to</w:t>
      </w:r>
      <w:r>
        <w:t xml:space="preserve"> primary, secondary and social care use (and associated cost savings), </w:t>
      </w:r>
      <w:r w:rsidRPr="00DF03C7">
        <w:t>mental wellbeing, social i</w:t>
      </w:r>
      <w:r w:rsidR="008207BA">
        <w:t xml:space="preserve">solation and general health or the </w:t>
      </w:r>
      <w:r w:rsidRPr="00DF03C7">
        <w:t>patient experience of Social Prescribing</w:t>
      </w:r>
      <w:r w:rsidR="008207BA">
        <w:t>.</w:t>
      </w:r>
    </w:p>
    <w:p w14:paraId="3D0A6DB8" w14:textId="77777777" w:rsidR="00760EA4" w:rsidRDefault="00275582" w:rsidP="00AE785D">
      <w:pPr>
        <w:pStyle w:val="BodyText-parastyle"/>
      </w:pPr>
      <w:r>
        <w:t>While</w:t>
      </w:r>
      <w:r w:rsidR="00760EA4">
        <w:t xml:space="preserve"> </w:t>
      </w:r>
      <w:r w:rsidR="008207BA">
        <w:t>six projects had KPIs that</w:t>
      </w:r>
      <w:r w:rsidR="00760EA4">
        <w:t xml:space="preserve"> measured</w:t>
      </w:r>
      <w:r w:rsidR="008207BA">
        <w:t xml:space="preserve"> some</w:t>
      </w:r>
      <w:r w:rsidR="00760EA4">
        <w:t xml:space="preserve"> primary outcomes and </w:t>
      </w:r>
      <w:r w:rsidR="008207BA">
        <w:t>four that</w:t>
      </w:r>
      <w:r w:rsidR="00760EA4">
        <w:t xml:space="preserve"> measured </w:t>
      </w:r>
      <w:r>
        <w:t xml:space="preserve">some </w:t>
      </w:r>
      <w:r w:rsidR="00760EA4">
        <w:t>secondary outcomes</w:t>
      </w:r>
      <w:r>
        <w:t xml:space="preserve"> only one had a KPI linked to social care</w:t>
      </w:r>
      <w:r w:rsidR="00760EA4">
        <w:t>. However some pilot projects included KPIs that incorporate</w:t>
      </w:r>
      <w:r w:rsidR="008207BA">
        <w:t>d</w:t>
      </w:r>
      <w:r w:rsidR="00760EA4">
        <w:t xml:space="preserve"> the wider determinants of health (e.g. employment, crime reduction etc.).  Examples include:</w:t>
      </w:r>
    </w:p>
    <w:p w14:paraId="542003CF" w14:textId="77777777" w:rsidR="00760EA4" w:rsidRDefault="00760EA4" w:rsidP="00AE785D">
      <w:pPr>
        <w:pStyle w:val="BodyText-parastyle"/>
      </w:pPr>
      <w:r>
        <w:t>North East - Tendring:</w:t>
      </w:r>
    </w:p>
    <w:p w14:paraId="6B3EFF7A" w14:textId="77777777" w:rsidR="00760EA4" w:rsidRDefault="00760EA4" w:rsidP="00D53262">
      <w:pPr>
        <w:pStyle w:val="ListParagraph"/>
      </w:pPr>
      <w:r>
        <w:t>reduced poverty</w:t>
      </w:r>
      <w:r w:rsidR="00411A41">
        <w:t>;</w:t>
      </w:r>
    </w:p>
    <w:p w14:paraId="6ADBDF02" w14:textId="77777777" w:rsidR="00760EA4" w:rsidRDefault="00760EA4" w:rsidP="00D53262">
      <w:pPr>
        <w:pStyle w:val="ListParagraph"/>
      </w:pPr>
      <w:r>
        <w:t>avoiding homelessness</w:t>
      </w:r>
      <w:r w:rsidR="00411A41">
        <w:t>;</w:t>
      </w:r>
    </w:p>
    <w:p w14:paraId="10073AF4" w14:textId="77777777" w:rsidR="00760EA4" w:rsidRDefault="00760EA4" w:rsidP="00D53262">
      <w:pPr>
        <w:pStyle w:val="ListParagraph"/>
      </w:pPr>
      <w:r>
        <w:t>avoiding benefit sanctions</w:t>
      </w:r>
      <w:r w:rsidR="00411A41">
        <w:t>;</w:t>
      </w:r>
    </w:p>
    <w:p w14:paraId="006D536C" w14:textId="77777777" w:rsidR="00760EA4" w:rsidRDefault="00760EA4" w:rsidP="00D53262">
      <w:pPr>
        <w:pStyle w:val="ListParagraph"/>
      </w:pPr>
      <w:r>
        <w:t>reduced anxiety due to unmanageable debt</w:t>
      </w:r>
      <w:r w:rsidR="00411A41">
        <w:t>;</w:t>
      </w:r>
    </w:p>
    <w:p w14:paraId="7D261339" w14:textId="77777777" w:rsidR="00760EA4" w:rsidRDefault="00760EA4" w:rsidP="00D53262">
      <w:pPr>
        <w:pStyle w:val="ListParagraph"/>
      </w:pPr>
      <w:r>
        <w:t>reduced risk of offending or becoming a victim of crime</w:t>
      </w:r>
      <w:r w:rsidR="00411A41">
        <w:t>; and</w:t>
      </w:r>
    </w:p>
    <w:p w14:paraId="38BC6C5E" w14:textId="77777777" w:rsidR="00760EA4" w:rsidRDefault="00760EA4" w:rsidP="00D53262">
      <w:pPr>
        <w:pStyle w:val="ListParagraph"/>
      </w:pPr>
      <w:r>
        <w:t>avoiding dismissal from employment</w:t>
      </w:r>
      <w:r w:rsidR="00FA588C">
        <w:t>.</w:t>
      </w:r>
    </w:p>
    <w:p w14:paraId="2F961E80" w14:textId="77777777" w:rsidR="00760EA4" w:rsidRDefault="00760EA4" w:rsidP="00AE785D">
      <w:pPr>
        <w:pStyle w:val="BodyText-parastyle"/>
      </w:pPr>
      <w:r>
        <w:t>North East – Colchester (expected benefits based on the Manchester New Economy Model):</w:t>
      </w:r>
    </w:p>
    <w:p w14:paraId="2D1CF1DD" w14:textId="77777777" w:rsidR="00760EA4" w:rsidRDefault="00760EA4" w:rsidP="00D53262">
      <w:pPr>
        <w:pStyle w:val="ListParagraph"/>
      </w:pPr>
      <w:r>
        <w:t>All types of crime</w:t>
      </w:r>
      <w:r w:rsidR="00411A41">
        <w:t>;</w:t>
      </w:r>
    </w:p>
    <w:p w14:paraId="4A776B33" w14:textId="77777777" w:rsidR="00760EA4" w:rsidRDefault="00760EA4" w:rsidP="00D53262">
      <w:pPr>
        <w:pStyle w:val="ListParagraph"/>
      </w:pPr>
      <w:r>
        <w:t>Anti-social behaviour</w:t>
      </w:r>
    </w:p>
    <w:p w14:paraId="62585B0B" w14:textId="77777777" w:rsidR="00760EA4" w:rsidRDefault="00760EA4" w:rsidP="00D53262">
      <w:pPr>
        <w:pStyle w:val="ListParagraph"/>
      </w:pPr>
      <w:r>
        <w:lastRenderedPageBreak/>
        <w:t>Simple Repossession</w:t>
      </w:r>
      <w:r w:rsidR="00411A41">
        <w:t xml:space="preserve">; and </w:t>
      </w:r>
    </w:p>
    <w:p w14:paraId="72A994D4" w14:textId="77777777" w:rsidR="00760EA4" w:rsidRDefault="00760EA4" w:rsidP="00D53262">
      <w:pPr>
        <w:pStyle w:val="ListParagraph"/>
      </w:pPr>
      <w:r>
        <w:t>Complex Eviction</w:t>
      </w:r>
      <w:r w:rsidR="00FA588C">
        <w:t>.</w:t>
      </w:r>
    </w:p>
    <w:p w14:paraId="6EBF6F11" w14:textId="2D363F1E" w:rsidR="00760EA4" w:rsidRDefault="00760EA4" w:rsidP="00AE785D">
      <w:pPr>
        <w:pStyle w:val="BodyText-parastyle"/>
      </w:pPr>
      <w:r>
        <w:t xml:space="preserve">While the </w:t>
      </w:r>
      <w:r w:rsidRPr="00356610">
        <w:t xml:space="preserve">planned outcomes for the Connect Well Model </w:t>
      </w:r>
      <w:r>
        <w:t xml:space="preserve">in Mid Essex includes </w:t>
      </w:r>
      <w:r w:rsidR="00275582">
        <w:t xml:space="preserve">reduced </w:t>
      </w:r>
      <w:r>
        <w:t>primary, secondary and social care</w:t>
      </w:r>
      <w:r w:rsidR="00275582">
        <w:t xml:space="preserve"> use</w:t>
      </w:r>
      <w:r>
        <w:t xml:space="preserve"> as well as improved health and wellbeing, these are not currently measured by the project and current KPIs focus on activity targets. </w:t>
      </w:r>
      <w:r w:rsidRPr="00356610">
        <w:rPr>
          <w:i/>
        </w:rPr>
        <w:t xml:space="preserve">It is noted that a proposal is currently being developed by Connect Well to obtain NHS assured data </w:t>
      </w:r>
      <w:r w:rsidR="00275582">
        <w:rPr>
          <w:i/>
        </w:rPr>
        <w:t xml:space="preserve">that can be used to </w:t>
      </w:r>
      <w:r w:rsidRPr="00356610">
        <w:rPr>
          <w:i/>
        </w:rPr>
        <w:t>evidence these outcomes</w:t>
      </w:r>
      <w:r w:rsidR="00275582" w:rsidRPr="00275582">
        <w:rPr>
          <w:i/>
        </w:rPr>
        <w:t xml:space="preserve"> in the future</w:t>
      </w:r>
      <w:r w:rsidR="00275582">
        <w:t>.</w:t>
      </w:r>
    </w:p>
    <w:p w14:paraId="4114C84D" w14:textId="1AC24814" w:rsidR="00760EA4" w:rsidRDefault="00760EA4" w:rsidP="00760EA4">
      <w:pPr>
        <w:pStyle w:val="Heading2"/>
        <w:numPr>
          <w:ilvl w:val="1"/>
          <w:numId w:val="1"/>
        </w:numPr>
        <w:tabs>
          <w:tab w:val="clear" w:pos="3349"/>
          <w:tab w:val="num" w:pos="567"/>
        </w:tabs>
        <w:ind w:left="567" w:hanging="567"/>
      </w:pPr>
      <w:bookmarkStart w:id="44" w:name="_Toc497934274"/>
      <w:r>
        <w:t>Conclusion</w:t>
      </w:r>
      <w:bookmarkEnd w:id="44"/>
    </w:p>
    <w:p w14:paraId="555505D1" w14:textId="76DC957D" w:rsidR="00760EA4" w:rsidRDefault="00760EA4" w:rsidP="00AE785D">
      <w:pPr>
        <w:pStyle w:val="BodyText-parastyle"/>
      </w:pPr>
      <w:r w:rsidRPr="004B28A2">
        <w:t xml:space="preserve">A detailed intervention logic sets out the required outcomes and then the activities needed to </w:t>
      </w:r>
      <w:r w:rsidR="00A42FA6">
        <w:t>realise these</w:t>
      </w:r>
      <w:r w:rsidRPr="004B28A2">
        <w:t xml:space="preserve"> (based on evidence), including any assumptions about how they will do this. This ensures there is a focus on the required outcomes.</w:t>
      </w:r>
      <w:r>
        <w:t xml:space="preserve"> All Social Prescribing projects / programmes should use an intervention logic and a common set of indicators that include inputs, activities, outputs and outcomes. Indicative indicators for Social Prescribing projects are outlined below. </w:t>
      </w:r>
    </w:p>
    <w:p w14:paraId="39CD0695" w14:textId="77777777" w:rsidR="00760EA4" w:rsidRDefault="00916843"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5</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w:t>
      </w:r>
      <w:r w:rsidR="00603E87">
        <w:fldChar w:fldCharType="end"/>
      </w:r>
      <w:r>
        <w:t xml:space="preserve">: </w:t>
      </w:r>
      <w:r w:rsidR="00760EA4">
        <w:t xml:space="preserve">Social Prescribing Logic Model – Indicative Example of Typical Indicators </w:t>
      </w:r>
    </w:p>
    <w:tbl>
      <w:tblPr>
        <w:tblStyle w:val="ForfasTableGrid1"/>
        <w:tblW w:w="0" w:type="auto"/>
        <w:tblLook w:val="04A0" w:firstRow="1" w:lastRow="0" w:firstColumn="1" w:lastColumn="0" w:noHBand="0" w:noVBand="1"/>
      </w:tblPr>
      <w:tblGrid>
        <w:gridCol w:w="1953"/>
        <w:gridCol w:w="1954"/>
        <w:gridCol w:w="1954"/>
        <w:gridCol w:w="1954"/>
        <w:gridCol w:w="1954"/>
      </w:tblGrid>
      <w:tr w:rsidR="00760EA4" w14:paraId="5BA94B9E" w14:textId="77777777" w:rsidTr="00E16733">
        <w:trPr>
          <w:cnfStyle w:val="100000000000" w:firstRow="1" w:lastRow="0" w:firstColumn="0" w:lastColumn="0" w:oddVBand="0" w:evenVBand="0" w:oddHBand="0" w:evenHBand="0" w:firstRowFirstColumn="0" w:firstRowLastColumn="0" w:lastRowFirstColumn="0" w:lastRowLastColumn="0"/>
        </w:trPr>
        <w:tc>
          <w:tcPr>
            <w:tcW w:w="1953" w:type="dxa"/>
          </w:tcPr>
          <w:p w14:paraId="09824BF0" w14:textId="77777777" w:rsidR="00760EA4" w:rsidRDefault="00760EA4" w:rsidP="00E16733">
            <w:pPr>
              <w:pStyle w:val="TableHeading"/>
            </w:pPr>
            <w:r>
              <w:t xml:space="preserve">Inputs </w:t>
            </w:r>
          </w:p>
        </w:tc>
        <w:tc>
          <w:tcPr>
            <w:tcW w:w="1954" w:type="dxa"/>
          </w:tcPr>
          <w:p w14:paraId="66A7E670" w14:textId="77777777" w:rsidR="00760EA4" w:rsidRDefault="00760EA4" w:rsidP="00E16733">
            <w:pPr>
              <w:pStyle w:val="TableHeading"/>
            </w:pPr>
            <w:r>
              <w:t xml:space="preserve">Activities </w:t>
            </w:r>
          </w:p>
        </w:tc>
        <w:tc>
          <w:tcPr>
            <w:tcW w:w="1954" w:type="dxa"/>
          </w:tcPr>
          <w:p w14:paraId="524055FD" w14:textId="77777777" w:rsidR="00760EA4" w:rsidRDefault="00760EA4" w:rsidP="00E16733">
            <w:pPr>
              <w:pStyle w:val="TableHeading"/>
            </w:pPr>
            <w:r>
              <w:t>Outputs</w:t>
            </w:r>
          </w:p>
        </w:tc>
        <w:tc>
          <w:tcPr>
            <w:tcW w:w="1954" w:type="dxa"/>
          </w:tcPr>
          <w:p w14:paraId="092FBC0E" w14:textId="77777777" w:rsidR="00760EA4" w:rsidRDefault="00760EA4" w:rsidP="00E16733">
            <w:pPr>
              <w:pStyle w:val="TableHeading"/>
            </w:pPr>
            <w:r>
              <w:t xml:space="preserve">Outcomes </w:t>
            </w:r>
          </w:p>
        </w:tc>
        <w:tc>
          <w:tcPr>
            <w:tcW w:w="1954" w:type="dxa"/>
          </w:tcPr>
          <w:p w14:paraId="074E2335" w14:textId="77777777" w:rsidR="00760EA4" w:rsidRDefault="00760EA4" w:rsidP="00E16733">
            <w:pPr>
              <w:pStyle w:val="TableHeading"/>
            </w:pPr>
            <w:r>
              <w:t>Impacts</w:t>
            </w:r>
          </w:p>
        </w:tc>
      </w:tr>
      <w:tr w:rsidR="00760EA4" w14:paraId="4ABA72BA" w14:textId="77777777" w:rsidTr="00E16733">
        <w:trPr>
          <w:cnfStyle w:val="000000100000" w:firstRow="0" w:lastRow="0" w:firstColumn="0" w:lastColumn="0" w:oddVBand="0" w:evenVBand="0" w:oddHBand="1" w:evenHBand="0" w:firstRowFirstColumn="0" w:firstRowLastColumn="0" w:lastRowFirstColumn="0" w:lastRowLastColumn="0"/>
        </w:trPr>
        <w:tc>
          <w:tcPr>
            <w:tcW w:w="1953" w:type="dxa"/>
          </w:tcPr>
          <w:p w14:paraId="08C6E26A" w14:textId="77777777" w:rsidR="00760EA4" w:rsidRDefault="00760EA4" w:rsidP="00E16733">
            <w:pPr>
              <w:pStyle w:val="Tablebullet"/>
            </w:pPr>
            <w:r>
              <w:t>Staff time (e.g. Social Prescribing Navigators)</w:t>
            </w:r>
          </w:p>
          <w:p w14:paraId="50E8B334" w14:textId="01B0581B" w:rsidR="00760EA4" w:rsidRDefault="00760EA4" w:rsidP="00E16733">
            <w:pPr>
              <w:pStyle w:val="Tablebullet"/>
            </w:pPr>
            <w:r>
              <w:t xml:space="preserve">Volunteers </w:t>
            </w:r>
          </w:p>
          <w:p w14:paraId="0A2FC2A9" w14:textId="77777777" w:rsidR="00760EA4" w:rsidRDefault="00760EA4" w:rsidP="00E16733">
            <w:pPr>
              <w:pStyle w:val="Tablebullet"/>
            </w:pPr>
            <w:r>
              <w:t xml:space="preserve">Funding </w:t>
            </w:r>
          </w:p>
          <w:p w14:paraId="654B8F08" w14:textId="77777777" w:rsidR="00760EA4" w:rsidRDefault="00760EA4" w:rsidP="00E16733">
            <w:pPr>
              <w:pStyle w:val="Tablebullet"/>
            </w:pPr>
            <w:r>
              <w:t xml:space="preserve">Existing infrastructure / resources </w:t>
            </w:r>
          </w:p>
          <w:p w14:paraId="1EBB043E" w14:textId="77777777" w:rsidR="00760EA4" w:rsidRDefault="00760EA4" w:rsidP="00E16733">
            <w:pPr>
              <w:pStyle w:val="Tablebullet"/>
            </w:pPr>
            <w:r>
              <w:t>GP/ healthcare professional buy-in</w:t>
            </w:r>
          </w:p>
          <w:p w14:paraId="079E8C4E" w14:textId="77777777" w:rsidR="00760EA4" w:rsidRDefault="00760EA4" w:rsidP="00E16733">
            <w:pPr>
              <w:pStyle w:val="Tablebullet"/>
            </w:pPr>
            <w:r>
              <w:t xml:space="preserve">Clear, simple referral process </w:t>
            </w:r>
          </w:p>
          <w:p w14:paraId="68792E47" w14:textId="77777777" w:rsidR="00760EA4" w:rsidRDefault="00760EA4" w:rsidP="00AE785D">
            <w:pPr>
              <w:pStyle w:val="BodyText-parastyle"/>
            </w:pPr>
          </w:p>
          <w:p w14:paraId="0BF13E80" w14:textId="77777777" w:rsidR="00760EA4" w:rsidRDefault="00760EA4" w:rsidP="00AE785D">
            <w:pPr>
              <w:pStyle w:val="BodyText-parastyle"/>
            </w:pPr>
          </w:p>
          <w:p w14:paraId="40F76CC5" w14:textId="77777777" w:rsidR="00760EA4" w:rsidRDefault="00760EA4" w:rsidP="00AE785D">
            <w:pPr>
              <w:pStyle w:val="BodyText-parastyle"/>
            </w:pPr>
          </w:p>
        </w:tc>
        <w:tc>
          <w:tcPr>
            <w:tcW w:w="1954" w:type="dxa"/>
          </w:tcPr>
          <w:p w14:paraId="6F14AB36" w14:textId="77777777" w:rsidR="00760EA4" w:rsidRDefault="00760EA4" w:rsidP="00E16733">
            <w:pPr>
              <w:pStyle w:val="Tablebullet"/>
            </w:pPr>
            <w:r>
              <w:t xml:space="preserve">Project promotion </w:t>
            </w:r>
          </w:p>
          <w:p w14:paraId="06F93B2B" w14:textId="77777777" w:rsidR="00760EA4" w:rsidRDefault="00760EA4" w:rsidP="00E16733">
            <w:pPr>
              <w:pStyle w:val="Tablebullet"/>
            </w:pPr>
            <w:r>
              <w:t>Telephone / face to face sessions between the SP Navigator and the service user</w:t>
            </w:r>
          </w:p>
          <w:p w14:paraId="225FA089" w14:textId="77777777" w:rsidR="00760EA4" w:rsidRDefault="00760EA4" w:rsidP="00E16733">
            <w:pPr>
              <w:pStyle w:val="Tablebullet"/>
            </w:pPr>
            <w:r>
              <w:t xml:space="preserve">Identification of goals </w:t>
            </w:r>
          </w:p>
          <w:p w14:paraId="499E7F49" w14:textId="77777777" w:rsidR="00760EA4" w:rsidRDefault="00760EA4" w:rsidP="00275582">
            <w:pPr>
              <w:pStyle w:val="Tablebullet"/>
              <w:numPr>
                <w:ilvl w:val="0"/>
                <w:numId w:val="0"/>
              </w:numPr>
              <w:ind w:left="327"/>
            </w:pPr>
          </w:p>
        </w:tc>
        <w:tc>
          <w:tcPr>
            <w:tcW w:w="1954" w:type="dxa"/>
          </w:tcPr>
          <w:p w14:paraId="6085F35A" w14:textId="77777777" w:rsidR="00760EA4" w:rsidRDefault="00760EA4" w:rsidP="00E16733">
            <w:pPr>
              <w:pStyle w:val="Tablebullet"/>
            </w:pPr>
            <w:r>
              <w:t>Number of referrals in / number from the target group</w:t>
            </w:r>
          </w:p>
          <w:p w14:paraId="0DD5A9C0" w14:textId="77777777" w:rsidR="00760EA4" w:rsidRDefault="00760EA4" w:rsidP="00E16733">
            <w:pPr>
              <w:pStyle w:val="Tablebullet"/>
            </w:pPr>
            <w:r>
              <w:t>Number of referrals out</w:t>
            </w:r>
          </w:p>
          <w:p w14:paraId="58DDED5C" w14:textId="77777777" w:rsidR="00760EA4" w:rsidRDefault="00760EA4" w:rsidP="00E16733">
            <w:pPr>
              <w:pStyle w:val="Tablebullet"/>
            </w:pPr>
            <w:r>
              <w:t>Number of actions plans completed</w:t>
            </w:r>
          </w:p>
          <w:p w14:paraId="54E7CE9E" w14:textId="77777777" w:rsidR="00760EA4" w:rsidRDefault="00760EA4" w:rsidP="00E16733">
            <w:pPr>
              <w:pStyle w:val="Tablebullet"/>
            </w:pPr>
            <w:r>
              <w:t xml:space="preserve">Number of baseline and follow-up surveys completed </w:t>
            </w:r>
          </w:p>
          <w:p w14:paraId="5BEE6853" w14:textId="77777777" w:rsidR="00760EA4" w:rsidRDefault="00760EA4" w:rsidP="00E16733">
            <w:pPr>
              <w:pStyle w:val="Tablebullet"/>
            </w:pPr>
            <w:r>
              <w:t xml:space="preserve">Number of service users that engage in the activity referred to </w:t>
            </w:r>
          </w:p>
        </w:tc>
        <w:tc>
          <w:tcPr>
            <w:tcW w:w="1954" w:type="dxa"/>
          </w:tcPr>
          <w:p w14:paraId="64252BB1" w14:textId="77777777" w:rsidR="00760EA4" w:rsidRDefault="00760EA4" w:rsidP="00E16733">
            <w:pPr>
              <w:pStyle w:val="Tablebullet"/>
            </w:pPr>
            <w:r>
              <w:t>Reduction in inappropriate use of primary, secondary and social care</w:t>
            </w:r>
          </w:p>
          <w:p w14:paraId="010A0297" w14:textId="77777777" w:rsidR="00760EA4" w:rsidRDefault="00760EA4" w:rsidP="00E16733">
            <w:pPr>
              <w:pStyle w:val="Tablebullet"/>
            </w:pPr>
            <w:r>
              <w:t>Improved general + mental health and wellbeing</w:t>
            </w:r>
          </w:p>
          <w:p w14:paraId="781213CC" w14:textId="77777777" w:rsidR="00760EA4" w:rsidRDefault="00760EA4" w:rsidP="00E16733">
            <w:pPr>
              <w:pStyle w:val="Tablebullet"/>
            </w:pPr>
            <w:r>
              <w:t xml:space="preserve">Reduced social isolation </w:t>
            </w:r>
          </w:p>
          <w:p w14:paraId="688E7B1C" w14:textId="77777777" w:rsidR="00760EA4" w:rsidRDefault="00760EA4" w:rsidP="00E16733">
            <w:pPr>
              <w:pStyle w:val="Tablebullet"/>
            </w:pPr>
            <w:r>
              <w:t xml:space="preserve">Increase self-management of conditions </w:t>
            </w:r>
          </w:p>
          <w:p w14:paraId="3D15CC3F" w14:textId="77777777" w:rsidR="00760EA4" w:rsidRDefault="00760EA4" w:rsidP="00E16733">
            <w:pPr>
              <w:pStyle w:val="Tablebullet"/>
            </w:pPr>
            <w:r>
              <w:t>Service user satisfaction</w:t>
            </w:r>
          </w:p>
          <w:p w14:paraId="08495605" w14:textId="77777777" w:rsidR="00760EA4" w:rsidRDefault="00760EA4" w:rsidP="00E16733">
            <w:pPr>
              <w:pStyle w:val="Tablebullet"/>
            </w:pPr>
            <w:r>
              <w:t>Value for Money</w:t>
            </w:r>
            <w:r w:rsidR="00A9450E">
              <w:t xml:space="preserve"> (VFM)</w:t>
            </w:r>
            <w:r>
              <w:t xml:space="preserve"> </w:t>
            </w:r>
          </w:p>
        </w:tc>
        <w:tc>
          <w:tcPr>
            <w:tcW w:w="1954" w:type="dxa"/>
          </w:tcPr>
          <w:p w14:paraId="0075BC16" w14:textId="77777777" w:rsidR="00760EA4" w:rsidRDefault="00760EA4" w:rsidP="00E16733">
            <w:pPr>
              <w:pStyle w:val="Tablebullet"/>
            </w:pPr>
            <w:r>
              <w:t>S</w:t>
            </w:r>
            <w:r w:rsidRPr="00F34F16">
              <w:t>tronger links between primary care and third sector providers</w:t>
            </w:r>
          </w:p>
          <w:p w14:paraId="3FBD494C" w14:textId="77777777" w:rsidR="00760EA4" w:rsidRDefault="00760EA4" w:rsidP="00E16733">
            <w:pPr>
              <w:pStyle w:val="Tablebullet"/>
            </w:pPr>
            <w:r>
              <w:t>Increased joint working between sectors</w:t>
            </w:r>
          </w:p>
          <w:p w14:paraId="5BB1B004" w14:textId="77777777" w:rsidR="00760EA4" w:rsidRDefault="00760EA4" w:rsidP="00E16733">
            <w:pPr>
              <w:pStyle w:val="Tablebullet"/>
            </w:pPr>
            <w:r>
              <w:t xml:space="preserve">Improved awareness / value of Social Prescribing as an option for GPs etc. </w:t>
            </w:r>
          </w:p>
        </w:tc>
      </w:tr>
    </w:tbl>
    <w:p w14:paraId="6619173C" w14:textId="77777777" w:rsidR="00760EA4" w:rsidRDefault="00760EA4" w:rsidP="00AE785D">
      <w:pPr>
        <w:pStyle w:val="BodyText-parastyle"/>
      </w:pPr>
      <w:r>
        <w:t xml:space="preserve">The pilot Social Prescribing projects were inconsistent in their use of indicators and not all included outcomes, or specifically the outcomes to be measured by this evaluation. All </w:t>
      </w:r>
      <w:r>
        <w:lastRenderedPageBreak/>
        <w:t>funded projects should have consistent input, output and outcome indicators and it is understood that reporting against the following outcomes is incorporated in the contractual agreements from 2017-18</w:t>
      </w:r>
      <w:r>
        <w:rPr>
          <w:rStyle w:val="FootnoteReference"/>
        </w:rPr>
        <w:footnoteReference w:id="60"/>
      </w:r>
      <w:r>
        <w:t>:</w:t>
      </w:r>
    </w:p>
    <w:p w14:paraId="6B9D4DE8" w14:textId="77777777" w:rsidR="00760EA4" w:rsidRDefault="00760EA4" w:rsidP="00D53262">
      <w:pPr>
        <w:pStyle w:val="ListParagraph"/>
      </w:pPr>
      <w:r w:rsidRPr="005877FE">
        <w:t>decreasing primary/ secondary and community care costs</w:t>
      </w:r>
      <w:r>
        <w:t xml:space="preserve">; and </w:t>
      </w:r>
      <w:r w:rsidRPr="005877FE">
        <w:t xml:space="preserve"> </w:t>
      </w:r>
    </w:p>
    <w:p w14:paraId="0CC2B9D1" w14:textId="77777777" w:rsidR="00760EA4" w:rsidRDefault="00760EA4" w:rsidP="00D53262">
      <w:pPr>
        <w:pStyle w:val="ListParagraph"/>
      </w:pPr>
      <w:r w:rsidRPr="005877FE">
        <w:t>changing behaviours to prevent</w:t>
      </w:r>
      <w:r>
        <w:t xml:space="preserve"> ill-health in the longer term.</w:t>
      </w:r>
    </w:p>
    <w:p w14:paraId="255F3635" w14:textId="77777777" w:rsidR="00760EA4" w:rsidRDefault="00760EA4" w:rsidP="00AE785D">
      <w:pPr>
        <w:pStyle w:val="BodyText-parastyle"/>
      </w:pPr>
    </w:p>
    <w:p w14:paraId="50AF5A55" w14:textId="77777777" w:rsidR="00760EA4" w:rsidRPr="00760EA4" w:rsidRDefault="00760EA4" w:rsidP="00AE785D">
      <w:pPr>
        <w:pStyle w:val="BodyText-parastyle"/>
      </w:pPr>
    </w:p>
    <w:p w14:paraId="722948DD" w14:textId="6397D4AD" w:rsidR="005110B2" w:rsidRDefault="00665776" w:rsidP="006C34B6">
      <w:pPr>
        <w:pStyle w:val="Heading1"/>
        <w:keepNext w:val="0"/>
        <w:keepLines w:val="0"/>
        <w:numPr>
          <w:ilvl w:val="0"/>
          <w:numId w:val="1"/>
        </w:numPr>
        <w:spacing w:before="240" w:line="288" w:lineRule="auto"/>
        <w:ind w:left="709" w:hanging="709"/>
      </w:pPr>
      <w:bookmarkStart w:id="45" w:name="_Toc497934275"/>
      <w:r>
        <w:lastRenderedPageBreak/>
        <w:t>Perfor</w:t>
      </w:r>
      <w:r w:rsidR="005110B2">
        <w:t>mance</w:t>
      </w:r>
      <w:bookmarkEnd w:id="45"/>
    </w:p>
    <w:p w14:paraId="34DD4C42" w14:textId="77777777" w:rsidR="005110B2" w:rsidRDefault="005110B2" w:rsidP="005110B2">
      <w:pPr>
        <w:pStyle w:val="Heading2"/>
      </w:pPr>
      <w:bookmarkStart w:id="46" w:name="_Toc497934276"/>
      <w:r>
        <w:t>Introduction</w:t>
      </w:r>
      <w:bookmarkEnd w:id="46"/>
    </w:p>
    <w:p w14:paraId="28C35120" w14:textId="77777777" w:rsidR="00FE682F" w:rsidRDefault="00D12D6E" w:rsidP="00AE785D">
      <w:pPr>
        <w:pStyle w:val="BodyText-parastyle"/>
      </w:pPr>
      <w:r w:rsidRPr="00403DB7">
        <w:t xml:space="preserve">This section provides an overview of the performance of the </w:t>
      </w:r>
      <w:r w:rsidR="00403DB7" w:rsidRPr="00403DB7">
        <w:t>Social Prescribing projects</w:t>
      </w:r>
      <w:r w:rsidR="006D1CD9">
        <w:t>, the outcomes achieved a</w:t>
      </w:r>
      <w:r w:rsidRPr="00403DB7">
        <w:t>nd illustrative case studies.</w:t>
      </w:r>
      <w:r w:rsidR="0083508C">
        <w:t xml:space="preserve"> </w:t>
      </w:r>
    </w:p>
    <w:p w14:paraId="680C0799" w14:textId="096A47F3" w:rsidR="00DC7AFE" w:rsidRDefault="00DC7AFE" w:rsidP="005110B2">
      <w:pPr>
        <w:pStyle w:val="Heading2"/>
      </w:pPr>
      <w:bookmarkStart w:id="47" w:name="_Toc497934277"/>
      <w:r>
        <w:t>Inputs</w:t>
      </w:r>
      <w:bookmarkEnd w:id="47"/>
    </w:p>
    <w:p w14:paraId="308C63A8" w14:textId="05428D9E" w:rsidR="00760EA4" w:rsidRDefault="00403DB7" w:rsidP="00AE785D">
      <w:pPr>
        <w:pStyle w:val="BodyText-parastyle"/>
      </w:pPr>
      <w:r>
        <w:t>The success of any intervention requires the comparison of input</w:t>
      </w:r>
      <w:r w:rsidR="00D21E6E">
        <w:t xml:space="preserve">s against outputs and outcomes. </w:t>
      </w:r>
      <w:r>
        <w:t>The following table details the inputs for each Social Prescribing project in relation to funding, as well as the number of st</w:t>
      </w:r>
      <w:r w:rsidR="009D7441">
        <w:t xml:space="preserve">aff, volunteers and referrals. The information in table </w:t>
      </w:r>
      <w:r w:rsidR="00760EA4">
        <w:t>6.1</w:t>
      </w:r>
      <w:r w:rsidR="009D7441">
        <w:t xml:space="preserve"> reflects the evidence provided for the seven fun</w:t>
      </w:r>
      <w:r w:rsidR="00760EA4">
        <w:t xml:space="preserve">ded Social Prescribing projects. The number of staff, volunteers and referrals for the Tendring project was not available for this evaluation. </w:t>
      </w:r>
    </w:p>
    <w:p w14:paraId="14D7ED2A" w14:textId="6775EC4A" w:rsidR="00524DD1" w:rsidRDefault="003A0BAD" w:rsidP="00AE785D">
      <w:pPr>
        <w:pStyle w:val="BodyText-parastyle"/>
        <w:sectPr w:rsidR="00524DD1" w:rsidSect="002D7BDF">
          <w:pgSz w:w="11910" w:h="16840"/>
          <w:pgMar w:top="1418" w:right="711" w:bottom="280" w:left="1420" w:header="720" w:footer="720" w:gutter="0"/>
          <w:cols w:space="720"/>
        </w:sectPr>
      </w:pPr>
      <w:r>
        <w:t>Castle Point and Rochford ha</w:t>
      </w:r>
      <w:r w:rsidR="00EE788C">
        <w:t>s</w:t>
      </w:r>
      <w:r>
        <w:t xml:space="preserve"> a funding period beyond the time period for this evaluation, therefore a pro rata funding figure has been used for </w:t>
      </w:r>
      <w:r w:rsidR="00E02FFC">
        <w:t xml:space="preserve">this </w:t>
      </w:r>
      <w:r>
        <w:t>project.</w:t>
      </w:r>
    </w:p>
    <w:p w14:paraId="3AB22286" w14:textId="54C67703" w:rsidR="00403DB7" w:rsidRDefault="00403DB7" w:rsidP="00CD4614">
      <w:pPr>
        <w:pStyle w:val="IntenseQuote"/>
      </w:pPr>
      <w:r>
        <w:lastRenderedPageBreak/>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w:t>
      </w:r>
      <w:r w:rsidR="00603E87">
        <w:fldChar w:fldCharType="end"/>
      </w:r>
      <w:r>
        <w:t xml:space="preserve">: </w:t>
      </w:r>
      <w:r w:rsidR="00294B94">
        <w:t>Funding Provided to Social Prescribing Project</w:t>
      </w:r>
      <w:r w:rsidRPr="00403DB7">
        <w:t xml:space="preserve"> by Locality</w:t>
      </w:r>
      <w:r w:rsidR="002B1243">
        <w:t xml:space="preserve"> – </w:t>
      </w:r>
      <w:r w:rsidRPr="00403DB7">
        <w:t>(</w:t>
      </w:r>
      <w:r w:rsidR="000D21AB">
        <w:t xml:space="preserve">2015/16 – 2016/17 – as </w:t>
      </w:r>
      <w:r w:rsidRPr="00403DB7">
        <w:t xml:space="preserve">at </w:t>
      </w:r>
      <w:r>
        <w:t>31 March 2017</w:t>
      </w:r>
      <w:r w:rsidRPr="00403DB7">
        <w:t>)</w:t>
      </w:r>
    </w:p>
    <w:tbl>
      <w:tblPr>
        <w:tblStyle w:val="TableGrid"/>
        <w:tblW w:w="0" w:type="auto"/>
        <w:tblLayout w:type="fixed"/>
        <w:tblLook w:val="04A0" w:firstRow="1" w:lastRow="0" w:firstColumn="1" w:lastColumn="0" w:noHBand="0" w:noVBand="1"/>
      </w:tblPr>
      <w:tblGrid>
        <w:gridCol w:w="1271"/>
        <w:gridCol w:w="2092"/>
        <w:gridCol w:w="1681"/>
        <w:gridCol w:w="1682"/>
        <w:gridCol w:w="1682"/>
        <w:gridCol w:w="1681"/>
        <w:gridCol w:w="1681"/>
        <w:gridCol w:w="1682"/>
        <w:gridCol w:w="1682"/>
      </w:tblGrid>
      <w:tr w:rsidR="009D7441" w14:paraId="04B88BD6" w14:textId="77777777" w:rsidTr="009D7441">
        <w:trPr>
          <w:cnfStyle w:val="100000000000" w:firstRow="1" w:lastRow="0" w:firstColumn="0" w:lastColumn="0" w:oddVBand="0" w:evenVBand="0" w:oddHBand="0" w:evenHBand="0" w:firstRowFirstColumn="0" w:firstRowLastColumn="0" w:lastRowFirstColumn="0" w:lastRowLastColumn="0"/>
          <w:tblHeader/>
        </w:trPr>
        <w:tc>
          <w:tcPr>
            <w:tcW w:w="1271" w:type="dxa"/>
          </w:tcPr>
          <w:p w14:paraId="5EE34658" w14:textId="77777777" w:rsidR="009D7441" w:rsidRDefault="009D7441" w:rsidP="002B1243">
            <w:pPr>
              <w:pStyle w:val="TableHeading"/>
              <w:spacing w:before="0" w:after="0"/>
            </w:pPr>
          </w:p>
        </w:tc>
        <w:tc>
          <w:tcPr>
            <w:tcW w:w="2092" w:type="dxa"/>
          </w:tcPr>
          <w:p w14:paraId="500E8BBD" w14:textId="77777777" w:rsidR="009D7441" w:rsidRDefault="009D7441" w:rsidP="002B1243">
            <w:pPr>
              <w:pStyle w:val="TableHeading"/>
              <w:spacing w:before="0" w:after="0"/>
            </w:pPr>
            <w:r>
              <w:t xml:space="preserve">Basildon and Brentwood </w:t>
            </w:r>
          </w:p>
        </w:tc>
        <w:tc>
          <w:tcPr>
            <w:tcW w:w="1681" w:type="dxa"/>
          </w:tcPr>
          <w:p w14:paraId="5913AF78" w14:textId="77777777" w:rsidR="009D7441" w:rsidRDefault="009D7441" w:rsidP="002B1243">
            <w:pPr>
              <w:pStyle w:val="TableHeading"/>
              <w:spacing w:before="0" w:after="0"/>
            </w:pPr>
            <w:r>
              <w:t>Castle Point and Rochford</w:t>
            </w:r>
          </w:p>
        </w:tc>
        <w:tc>
          <w:tcPr>
            <w:tcW w:w="1682" w:type="dxa"/>
          </w:tcPr>
          <w:p w14:paraId="633F7851" w14:textId="77777777" w:rsidR="009D7441" w:rsidRDefault="009D7441" w:rsidP="002B1243">
            <w:pPr>
              <w:pStyle w:val="TableHeading"/>
              <w:spacing w:before="0" w:after="0"/>
            </w:pPr>
            <w:r>
              <w:t>Mid Essex</w:t>
            </w:r>
          </w:p>
        </w:tc>
        <w:tc>
          <w:tcPr>
            <w:tcW w:w="1682" w:type="dxa"/>
          </w:tcPr>
          <w:p w14:paraId="14F7A095" w14:textId="77777777" w:rsidR="009D7441" w:rsidRDefault="009D7441" w:rsidP="002B1243">
            <w:pPr>
              <w:pStyle w:val="TableHeading"/>
              <w:spacing w:before="0" w:after="0"/>
            </w:pPr>
            <w:r>
              <w:t xml:space="preserve">NE Essex – Colchester </w:t>
            </w:r>
          </w:p>
        </w:tc>
        <w:tc>
          <w:tcPr>
            <w:tcW w:w="1681" w:type="dxa"/>
          </w:tcPr>
          <w:p w14:paraId="7AD82FD8" w14:textId="77777777" w:rsidR="009D7441" w:rsidRDefault="009D7441" w:rsidP="002B1243">
            <w:pPr>
              <w:pStyle w:val="TableHeading"/>
              <w:spacing w:before="0" w:after="0"/>
            </w:pPr>
            <w:r>
              <w:t xml:space="preserve">NE Essex – Tendring </w:t>
            </w:r>
          </w:p>
        </w:tc>
        <w:tc>
          <w:tcPr>
            <w:tcW w:w="1681" w:type="dxa"/>
          </w:tcPr>
          <w:p w14:paraId="52B068C1" w14:textId="77777777" w:rsidR="009D7441" w:rsidRDefault="009D7441" w:rsidP="002B1243">
            <w:pPr>
              <w:pStyle w:val="TableHeading"/>
              <w:spacing w:before="0" w:after="0"/>
            </w:pPr>
            <w:r>
              <w:t>West Essex</w:t>
            </w:r>
          </w:p>
        </w:tc>
        <w:tc>
          <w:tcPr>
            <w:tcW w:w="1682" w:type="dxa"/>
          </w:tcPr>
          <w:p w14:paraId="54AF948C" w14:textId="77777777" w:rsidR="009D7441" w:rsidRDefault="009D7441" w:rsidP="002B1243">
            <w:pPr>
              <w:pStyle w:val="TableHeading"/>
              <w:spacing w:before="0" w:after="0"/>
            </w:pPr>
            <w:r>
              <w:t xml:space="preserve">Southend </w:t>
            </w:r>
          </w:p>
        </w:tc>
        <w:tc>
          <w:tcPr>
            <w:tcW w:w="1682" w:type="dxa"/>
          </w:tcPr>
          <w:p w14:paraId="6EE28FEE" w14:textId="77777777" w:rsidR="009D7441" w:rsidRDefault="009D7441" w:rsidP="002B1243">
            <w:pPr>
              <w:pStyle w:val="TableHeading"/>
              <w:spacing w:before="0" w:after="0"/>
            </w:pPr>
            <w:r>
              <w:t xml:space="preserve">Total </w:t>
            </w:r>
          </w:p>
        </w:tc>
      </w:tr>
      <w:tr w:rsidR="009D7441" w14:paraId="7B965AB9" w14:textId="77777777" w:rsidTr="00294B94">
        <w:trPr>
          <w:cnfStyle w:val="000000100000" w:firstRow="0" w:lastRow="0" w:firstColumn="0" w:lastColumn="0" w:oddVBand="0" w:evenVBand="0" w:oddHBand="1" w:evenHBand="0" w:firstRowFirstColumn="0" w:firstRowLastColumn="0" w:lastRowFirstColumn="0" w:lastRowLastColumn="0"/>
          <w:trHeight w:val="289"/>
        </w:trPr>
        <w:tc>
          <w:tcPr>
            <w:tcW w:w="1271" w:type="dxa"/>
          </w:tcPr>
          <w:p w14:paraId="36D93349" w14:textId="77777777" w:rsidR="009D7441" w:rsidRDefault="009D7441" w:rsidP="002B1243">
            <w:pPr>
              <w:pStyle w:val="TableParagraph"/>
              <w:spacing w:before="0" w:after="0"/>
            </w:pPr>
            <w:r>
              <w:t>Funding</w:t>
            </w:r>
            <w:r>
              <w:rPr>
                <w:rStyle w:val="FootnoteReference"/>
              </w:rPr>
              <w:footnoteReference w:id="61"/>
            </w:r>
            <w:r>
              <w:t xml:space="preserve"> </w:t>
            </w:r>
          </w:p>
        </w:tc>
        <w:tc>
          <w:tcPr>
            <w:tcW w:w="2092" w:type="dxa"/>
            <w:vAlign w:val="center"/>
          </w:tcPr>
          <w:p w14:paraId="4591473E" w14:textId="77777777" w:rsidR="009D7441" w:rsidRDefault="009D7441" w:rsidP="00294B94">
            <w:pPr>
              <w:pStyle w:val="TableParagraph"/>
              <w:spacing w:before="0" w:after="0"/>
              <w:jc w:val="center"/>
            </w:pPr>
            <w:r>
              <w:t>£155,0</w:t>
            </w:r>
            <w:r w:rsidR="00275582">
              <w:t>40</w:t>
            </w:r>
          </w:p>
        </w:tc>
        <w:tc>
          <w:tcPr>
            <w:tcW w:w="1681" w:type="dxa"/>
            <w:vAlign w:val="center"/>
          </w:tcPr>
          <w:p w14:paraId="7166F98D" w14:textId="6973D2A8" w:rsidR="00F37B7B" w:rsidRDefault="009D7441" w:rsidP="00294B94">
            <w:pPr>
              <w:pStyle w:val="TableParagraph"/>
              <w:spacing w:before="0" w:after="0"/>
              <w:jc w:val="center"/>
            </w:pPr>
            <w:r w:rsidRPr="00403DB7">
              <w:t>£90,417</w:t>
            </w:r>
            <w:r w:rsidR="00193A77">
              <w:rPr>
                <w:rStyle w:val="FootnoteReference"/>
              </w:rPr>
              <w:footnoteReference w:id="62"/>
            </w:r>
          </w:p>
        </w:tc>
        <w:tc>
          <w:tcPr>
            <w:tcW w:w="1682" w:type="dxa"/>
            <w:vAlign w:val="center"/>
          </w:tcPr>
          <w:p w14:paraId="168082DF" w14:textId="5A7B447C" w:rsidR="00F37B7B" w:rsidRDefault="009D7441" w:rsidP="00294B94">
            <w:pPr>
              <w:pStyle w:val="TableParagraph"/>
              <w:spacing w:before="0" w:after="0"/>
              <w:jc w:val="center"/>
            </w:pPr>
            <w:r w:rsidRPr="00403DB7">
              <w:t>£</w:t>
            </w:r>
            <w:r w:rsidR="0000104E" w:rsidRPr="0000104E">
              <w:t>286,485</w:t>
            </w:r>
            <w:r w:rsidR="00974A98">
              <w:rPr>
                <w:rStyle w:val="FootnoteReference"/>
              </w:rPr>
              <w:footnoteReference w:id="63"/>
            </w:r>
          </w:p>
        </w:tc>
        <w:tc>
          <w:tcPr>
            <w:tcW w:w="1682" w:type="dxa"/>
            <w:vAlign w:val="center"/>
          </w:tcPr>
          <w:p w14:paraId="5B29672C" w14:textId="51351DFE" w:rsidR="009D7441" w:rsidRDefault="009D7441" w:rsidP="00294B94">
            <w:pPr>
              <w:pStyle w:val="TableParagraph"/>
              <w:spacing w:before="0" w:after="0"/>
              <w:jc w:val="center"/>
            </w:pPr>
            <w:r w:rsidRPr="00403DB7">
              <w:t>£15</w:t>
            </w:r>
            <w:r w:rsidR="00D37B99">
              <w:t>9</w:t>
            </w:r>
            <w:r w:rsidRPr="00403DB7">
              <w:t>,000</w:t>
            </w:r>
          </w:p>
        </w:tc>
        <w:tc>
          <w:tcPr>
            <w:tcW w:w="1681" w:type="dxa"/>
            <w:vAlign w:val="center"/>
          </w:tcPr>
          <w:p w14:paraId="5E67EBBC" w14:textId="66F33A8A" w:rsidR="00F37B7B" w:rsidRPr="00974A98" w:rsidRDefault="00193A77" w:rsidP="00294B94">
            <w:pPr>
              <w:pStyle w:val="TableParagraph"/>
              <w:spacing w:before="0" w:after="0"/>
              <w:jc w:val="center"/>
            </w:pPr>
            <w:r w:rsidRPr="00974A98">
              <w:t>£2</w:t>
            </w:r>
            <w:r w:rsidR="00E02FFC">
              <w:t>00</w:t>
            </w:r>
            <w:r w:rsidR="009D7441" w:rsidRPr="00974A98">
              <w:t>,000</w:t>
            </w:r>
          </w:p>
        </w:tc>
        <w:tc>
          <w:tcPr>
            <w:tcW w:w="1681" w:type="dxa"/>
            <w:vAlign w:val="center"/>
          </w:tcPr>
          <w:p w14:paraId="53CB6296" w14:textId="77777777" w:rsidR="009D7441" w:rsidRDefault="003110B7" w:rsidP="00294B94">
            <w:pPr>
              <w:pStyle w:val="TableParagraph"/>
              <w:spacing w:before="0" w:after="0"/>
              <w:jc w:val="center"/>
            </w:pPr>
            <w:r>
              <w:t>£230,000</w:t>
            </w:r>
          </w:p>
        </w:tc>
        <w:tc>
          <w:tcPr>
            <w:tcW w:w="1682" w:type="dxa"/>
            <w:vAlign w:val="center"/>
          </w:tcPr>
          <w:p w14:paraId="3C9205C9" w14:textId="77777777" w:rsidR="009D7441" w:rsidRPr="00403DB7" w:rsidRDefault="009D7441" w:rsidP="00294B94">
            <w:pPr>
              <w:pStyle w:val="TableParagraph"/>
              <w:spacing w:before="0" w:after="0"/>
              <w:jc w:val="center"/>
            </w:pPr>
            <w:r>
              <w:t>£70,000</w:t>
            </w:r>
          </w:p>
        </w:tc>
        <w:tc>
          <w:tcPr>
            <w:tcW w:w="1682" w:type="dxa"/>
            <w:vAlign w:val="center"/>
          </w:tcPr>
          <w:p w14:paraId="6FDFE663" w14:textId="143C5C9E" w:rsidR="00275582" w:rsidRPr="009D7441" w:rsidRDefault="00294B94" w:rsidP="00294B94">
            <w:pPr>
              <w:pStyle w:val="TableParagraph"/>
              <w:jc w:val="center"/>
            </w:pPr>
            <w:r w:rsidRPr="00294B94">
              <w:t>£1,190,942</w:t>
            </w:r>
          </w:p>
        </w:tc>
      </w:tr>
      <w:tr w:rsidR="009D7441" w14:paraId="2593B259" w14:textId="77777777" w:rsidTr="009D7441">
        <w:trPr>
          <w:cnfStyle w:val="000000010000" w:firstRow="0" w:lastRow="0" w:firstColumn="0" w:lastColumn="0" w:oddVBand="0" w:evenVBand="0" w:oddHBand="0" w:evenHBand="1" w:firstRowFirstColumn="0" w:firstRowLastColumn="0" w:lastRowFirstColumn="0" w:lastRowLastColumn="0"/>
        </w:trPr>
        <w:tc>
          <w:tcPr>
            <w:tcW w:w="1271" w:type="dxa"/>
          </w:tcPr>
          <w:p w14:paraId="522367AA" w14:textId="77777777" w:rsidR="009D7441" w:rsidRDefault="009D7441" w:rsidP="002B1243">
            <w:pPr>
              <w:pStyle w:val="TableParagraph"/>
              <w:spacing w:before="0" w:after="0"/>
            </w:pPr>
            <w:r>
              <w:t>Number of staff</w:t>
            </w:r>
          </w:p>
        </w:tc>
        <w:tc>
          <w:tcPr>
            <w:tcW w:w="2092" w:type="dxa"/>
          </w:tcPr>
          <w:p w14:paraId="334CB35C" w14:textId="77777777" w:rsidR="009D7441" w:rsidRPr="00D21E6E" w:rsidRDefault="009D7441" w:rsidP="002B1243">
            <w:pPr>
              <w:pStyle w:val="Tablebullet"/>
              <w:spacing w:before="0" w:after="0"/>
            </w:pPr>
            <w:r w:rsidRPr="00D21E6E">
              <w:t>2 FT SP Navigator</w:t>
            </w:r>
          </w:p>
          <w:p w14:paraId="208998A8" w14:textId="77777777" w:rsidR="009D7441" w:rsidRPr="00D21E6E" w:rsidRDefault="009D7441" w:rsidP="002B1243">
            <w:pPr>
              <w:pStyle w:val="Tablebullet"/>
              <w:spacing w:before="0" w:after="0"/>
            </w:pPr>
            <w:r w:rsidRPr="00D21E6E">
              <w:t>Admin support (0.5)</w:t>
            </w:r>
          </w:p>
          <w:p w14:paraId="59B21C67" w14:textId="77777777" w:rsidR="009D7441" w:rsidRDefault="009D7441" w:rsidP="002B1243">
            <w:pPr>
              <w:pStyle w:val="Tablebullet"/>
              <w:spacing w:before="0" w:after="0"/>
            </w:pPr>
            <w:r w:rsidRPr="00D21E6E">
              <w:rPr>
                <w:lang w:val="en-US" w:eastAsia="en-US"/>
              </w:rPr>
              <w:t>1 PT project manager (0.4)</w:t>
            </w:r>
          </w:p>
        </w:tc>
        <w:tc>
          <w:tcPr>
            <w:tcW w:w="1681" w:type="dxa"/>
          </w:tcPr>
          <w:p w14:paraId="20F87E2D" w14:textId="535E93AD" w:rsidR="009D7441" w:rsidRDefault="009D7441" w:rsidP="002B1243">
            <w:pPr>
              <w:pStyle w:val="TableParagraph"/>
              <w:spacing w:before="0" w:after="0"/>
            </w:pPr>
            <w:r w:rsidRPr="00D21E6E">
              <w:t>3</w:t>
            </w:r>
            <w:r>
              <w:t xml:space="preserve"> </w:t>
            </w:r>
            <w:r w:rsidR="00C70808">
              <w:t xml:space="preserve">PT </w:t>
            </w:r>
            <w:r w:rsidR="00C70808" w:rsidRPr="00D21E6E">
              <w:t>staff</w:t>
            </w:r>
          </w:p>
        </w:tc>
        <w:tc>
          <w:tcPr>
            <w:tcW w:w="1682" w:type="dxa"/>
          </w:tcPr>
          <w:p w14:paraId="780D4741" w14:textId="77777777" w:rsidR="009D7441" w:rsidRDefault="009D7441" w:rsidP="002B1243">
            <w:pPr>
              <w:pStyle w:val="TableParagraph"/>
              <w:spacing w:before="0" w:after="0"/>
            </w:pPr>
            <w:r w:rsidRPr="00D21E6E">
              <w:t>1 FT project lead</w:t>
            </w:r>
          </w:p>
          <w:p w14:paraId="307390AF" w14:textId="2483658A" w:rsidR="00E26757" w:rsidRDefault="00370E56" w:rsidP="002B1243">
            <w:pPr>
              <w:pStyle w:val="TableParagraph"/>
              <w:spacing w:before="0" w:after="0"/>
            </w:pPr>
            <w:r>
              <w:t>0.8 Level 2 Advisors</w:t>
            </w:r>
            <w:r w:rsidR="00E26757">
              <w:t xml:space="preserve"> (P</w:t>
            </w:r>
            <w:r w:rsidR="00D37B99">
              <w:t>ROVIDE</w:t>
            </w:r>
            <w:r w:rsidR="00E26757">
              <w:t>)</w:t>
            </w:r>
          </w:p>
        </w:tc>
        <w:tc>
          <w:tcPr>
            <w:tcW w:w="1682" w:type="dxa"/>
          </w:tcPr>
          <w:p w14:paraId="65694CFC" w14:textId="77777777" w:rsidR="009D7441" w:rsidRDefault="009D7441" w:rsidP="002B1243">
            <w:pPr>
              <w:pStyle w:val="TableParagraph"/>
              <w:spacing w:before="0" w:after="0"/>
            </w:pPr>
            <w:r>
              <w:t>2.5 FT</w:t>
            </w:r>
            <w:r w:rsidRPr="00D21E6E">
              <w:t xml:space="preserve"> staff</w:t>
            </w:r>
          </w:p>
          <w:p w14:paraId="5C825E04" w14:textId="77777777" w:rsidR="00370E56" w:rsidRDefault="00370E56" w:rsidP="002B1243">
            <w:pPr>
              <w:pStyle w:val="TableParagraph"/>
              <w:spacing w:before="0" w:after="0"/>
            </w:pPr>
          </w:p>
        </w:tc>
        <w:tc>
          <w:tcPr>
            <w:tcW w:w="1681" w:type="dxa"/>
          </w:tcPr>
          <w:p w14:paraId="105DB47F" w14:textId="77777777" w:rsidR="009D7441" w:rsidRPr="00D21E6E" w:rsidRDefault="00974A98" w:rsidP="002B1243">
            <w:pPr>
              <w:pStyle w:val="TableParagraph"/>
              <w:spacing w:before="0" w:after="0"/>
            </w:pPr>
            <w:r>
              <w:t>Not available</w:t>
            </w:r>
          </w:p>
        </w:tc>
        <w:tc>
          <w:tcPr>
            <w:tcW w:w="1681" w:type="dxa"/>
          </w:tcPr>
          <w:p w14:paraId="3CB606D8" w14:textId="77777777" w:rsidR="009D7441" w:rsidRDefault="009D7441" w:rsidP="002B1243">
            <w:pPr>
              <w:pStyle w:val="TableParagraph"/>
              <w:spacing w:before="0" w:after="0"/>
            </w:pPr>
            <w:r w:rsidRPr="00D21E6E">
              <w:t>1 FT PIC</w:t>
            </w:r>
          </w:p>
          <w:p w14:paraId="75E214F8" w14:textId="5E0E9A12" w:rsidR="00370E56" w:rsidRDefault="00370E56" w:rsidP="002B1243">
            <w:pPr>
              <w:pStyle w:val="TableParagraph"/>
              <w:spacing w:before="0" w:after="0"/>
            </w:pPr>
          </w:p>
        </w:tc>
        <w:tc>
          <w:tcPr>
            <w:tcW w:w="1682" w:type="dxa"/>
          </w:tcPr>
          <w:p w14:paraId="7D4B6E11" w14:textId="77777777" w:rsidR="009D7441" w:rsidRDefault="009D7441" w:rsidP="002B1243">
            <w:pPr>
              <w:pStyle w:val="TableParagraph"/>
              <w:spacing w:before="0" w:after="0"/>
            </w:pPr>
            <w:r>
              <w:t>1 FT SP Coordinator</w:t>
            </w:r>
          </w:p>
        </w:tc>
        <w:tc>
          <w:tcPr>
            <w:tcW w:w="1682" w:type="dxa"/>
          </w:tcPr>
          <w:p w14:paraId="625D04F2" w14:textId="67BB7B1F" w:rsidR="009D7441" w:rsidRDefault="00370E56" w:rsidP="00234FBE">
            <w:pPr>
              <w:pStyle w:val="TableParagraph"/>
            </w:pPr>
            <w:r>
              <w:t>11</w:t>
            </w:r>
            <w:r w:rsidR="00234FBE">
              <w:t xml:space="preserve"> </w:t>
            </w:r>
            <w:r w:rsidR="00D37B99">
              <w:t>FT staff</w:t>
            </w:r>
          </w:p>
        </w:tc>
      </w:tr>
      <w:tr w:rsidR="009D7441" w14:paraId="0597F35F" w14:textId="77777777" w:rsidTr="009D7441">
        <w:trPr>
          <w:cnfStyle w:val="000000100000" w:firstRow="0" w:lastRow="0" w:firstColumn="0" w:lastColumn="0" w:oddVBand="0" w:evenVBand="0" w:oddHBand="1" w:evenHBand="0" w:firstRowFirstColumn="0" w:firstRowLastColumn="0" w:lastRowFirstColumn="0" w:lastRowLastColumn="0"/>
        </w:trPr>
        <w:tc>
          <w:tcPr>
            <w:tcW w:w="1271" w:type="dxa"/>
          </w:tcPr>
          <w:p w14:paraId="2E2DD288" w14:textId="77777777" w:rsidR="009D7441" w:rsidRDefault="009D7441" w:rsidP="002B1243">
            <w:pPr>
              <w:pStyle w:val="TableParagraph"/>
              <w:spacing w:before="0" w:after="0"/>
            </w:pPr>
            <w:r>
              <w:t xml:space="preserve">Number of Volunteers </w:t>
            </w:r>
          </w:p>
        </w:tc>
        <w:tc>
          <w:tcPr>
            <w:tcW w:w="2092" w:type="dxa"/>
          </w:tcPr>
          <w:p w14:paraId="2EF268D9" w14:textId="77777777" w:rsidR="009D7441" w:rsidRDefault="009D7441" w:rsidP="002B1243">
            <w:pPr>
              <w:pStyle w:val="TableParagraph"/>
              <w:spacing w:before="0" w:after="0"/>
            </w:pPr>
            <w:r w:rsidRPr="00D21E6E">
              <w:t>8 volunteers</w:t>
            </w:r>
          </w:p>
        </w:tc>
        <w:tc>
          <w:tcPr>
            <w:tcW w:w="1681" w:type="dxa"/>
          </w:tcPr>
          <w:p w14:paraId="24AD2493" w14:textId="77777777" w:rsidR="009D7441" w:rsidRDefault="009D7441" w:rsidP="002B1243">
            <w:pPr>
              <w:pStyle w:val="TableParagraph"/>
              <w:spacing w:before="0" w:after="0"/>
            </w:pPr>
            <w:r w:rsidRPr="00D21E6E">
              <w:t>11 volunteers</w:t>
            </w:r>
          </w:p>
        </w:tc>
        <w:tc>
          <w:tcPr>
            <w:tcW w:w="1682" w:type="dxa"/>
          </w:tcPr>
          <w:p w14:paraId="2160E9C8" w14:textId="45A74501" w:rsidR="009D7441" w:rsidRDefault="009D7441" w:rsidP="002B1243">
            <w:pPr>
              <w:pStyle w:val="TableParagraph"/>
              <w:spacing w:before="0" w:after="0"/>
            </w:pPr>
            <w:r w:rsidRPr="00D21E6E">
              <w:t xml:space="preserve">424 </w:t>
            </w:r>
            <w:r>
              <w:t xml:space="preserve">trained </w:t>
            </w:r>
            <w:r w:rsidR="00C70808">
              <w:t>SPCs</w:t>
            </w:r>
            <w:r w:rsidR="00C70808" w:rsidRPr="00D21E6E">
              <w:t xml:space="preserve"> </w:t>
            </w:r>
            <w:r w:rsidR="00C70808">
              <w:t>(</w:t>
            </w:r>
            <w:r>
              <w:t>153 active)</w:t>
            </w:r>
            <w:r w:rsidR="00E00979">
              <w:rPr>
                <w:rStyle w:val="FootnoteReference"/>
              </w:rPr>
              <w:footnoteReference w:id="64"/>
            </w:r>
          </w:p>
          <w:p w14:paraId="1DF550FC" w14:textId="77777777" w:rsidR="00E00979" w:rsidRDefault="00E00979" w:rsidP="002B1243">
            <w:pPr>
              <w:pStyle w:val="TableParagraph"/>
              <w:spacing w:before="0" w:after="0"/>
            </w:pPr>
            <w:r w:rsidRPr="00E00979">
              <w:t>one volunteer supporting project administration</w:t>
            </w:r>
          </w:p>
        </w:tc>
        <w:tc>
          <w:tcPr>
            <w:tcW w:w="1682" w:type="dxa"/>
          </w:tcPr>
          <w:p w14:paraId="67309748" w14:textId="77777777" w:rsidR="009D7441" w:rsidRDefault="009D7441" w:rsidP="002B1243">
            <w:pPr>
              <w:pStyle w:val="Tablebullet"/>
              <w:spacing w:before="0" w:after="0"/>
            </w:pPr>
            <w:r w:rsidRPr="00D21E6E">
              <w:t xml:space="preserve">13 active volunteers </w:t>
            </w:r>
          </w:p>
          <w:p w14:paraId="4E2886CA" w14:textId="77777777" w:rsidR="009D7441" w:rsidRPr="00D21E6E" w:rsidRDefault="009D7441" w:rsidP="002B1243">
            <w:pPr>
              <w:pStyle w:val="Tablebullet"/>
              <w:spacing w:before="0" w:after="0"/>
            </w:pPr>
            <w:r w:rsidRPr="00D21E6E">
              <w:rPr>
                <w:lang w:val="en-US" w:eastAsia="en-US"/>
              </w:rPr>
              <w:t>11 inactive volunteers</w:t>
            </w:r>
          </w:p>
          <w:p w14:paraId="03C7C0DD" w14:textId="77777777" w:rsidR="009D7441" w:rsidRDefault="00E00979" w:rsidP="002B1243">
            <w:pPr>
              <w:pStyle w:val="Tablebullet"/>
              <w:spacing w:before="0" w:after="0"/>
            </w:pPr>
            <w:r>
              <w:t>1 admin volunteer</w:t>
            </w:r>
          </w:p>
        </w:tc>
        <w:tc>
          <w:tcPr>
            <w:tcW w:w="1681" w:type="dxa"/>
          </w:tcPr>
          <w:p w14:paraId="213E8AB8" w14:textId="77777777" w:rsidR="009D7441" w:rsidRPr="00D21E6E" w:rsidRDefault="009D7441" w:rsidP="002B1243">
            <w:pPr>
              <w:pStyle w:val="TableParagraph"/>
              <w:spacing w:before="0" w:after="0"/>
            </w:pPr>
          </w:p>
        </w:tc>
        <w:tc>
          <w:tcPr>
            <w:tcW w:w="1681" w:type="dxa"/>
          </w:tcPr>
          <w:p w14:paraId="775C83AA" w14:textId="77777777" w:rsidR="009D7441" w:rsidRDefault="009D7441" w:rsidP="002B1243">
            <w:pPr>
              <w:pStyle w:val="TableParagraph"/>
              <w:spacing w:before="0" w:after="0"/>
            </w:pPr>
            <w:r w:rsidRPr="00D21E6E">
              <w:t xml:space="preserve">6 volunteers in a PIP role </w:t>
            </w:r>
            <w:r>
              <w:t xml:space="preserve">(3 active) </w:t>
            </w:r>
            <w:r w:rsidRPr="00D21E6E">
              <w:t xml:space="preserve">2017 </w:t>
            </w:r>
          </w:p>
        </w:tc>
        <w:tc>
          <w:tcPr>
            <w:tcW w:w="1682" w:type="dxa"/>
          </w:tcPr>
          <w:p w14:paraId="33341442" w14:textId="77777777" w:rsidR="009D7441" w:rsidRDefault="009D7441" w:rsidP="002B1243">
            <w:pPr>
              <w:pStyle w:val="TableParagraph"/>
              <w:spacing w:before="0" w:after="0"/>
            </w:pPr>
            <w:r>
              <w:t>5 volunteers</w:t>
            </w:r>
          </w:p>
        </w:tc>
        <w:tc>
          <w:tcPr>
            <w:tcW w:w="1682" w:type="dxa"/>
          </w:tcPr>
          <w:p w14:paraId="6FF9F96C" w14:textId="77777777" w:rsidR="009D7441" w:rsidRDefault="005F660E" w:rsidP="002B1243">
            <w:pPr>
              <w:pStyle w:val="Tablebullet"/>
              <w:spacing w:before="0" w:after="0"/>
            </w:pPr>
            <w:r>
              <w:t>19</w:t>
            </w:r>
            <w:r w:rsidR="00E00979">
              <w:t>5</w:t>
            </w:r>
            <w:r w:rsidR="009D7441">
              <w:t xml:space="preserve"> (active</w:t>
            </w:r>
            <w:r w:rsidR="00E00979">
              <w:t>, including SPCs</w:t>
            </w:r>
            <w:r w:rsidR="009D7441">
              <w:t>)</w:t>
            </w:r>
          </w:p>
          <w:p w14:paraId="63E28F15" w14:textId="77777777" w:rsidR="009D7441" w:rsidRDefault="009D7441" w:rsidP="002B1243">
            <w:pPr>
              <w:pStyle w:val="Tablebullet"/>
              <w:spacing w:before="0" w:after="0"/>
            </w:pPr>
            <w:r>
              <w:t>285 (inactive</w:t>
            </w:r>
            <w:r w:rsidR="00E00979">
              <w:t>, including SPCs</w:t>
            </w:r>
            <w:r>
              <w:t>)</w:t>
            </w:r>
          </w:p>
        </w:tc>
      </w:tr>
      <w:tr w:rsidR="009D7441" w14:paraId="060780DF" w14:textId="77777777" w:rsidTr="00344892">
        <w:trPr>
          <w:cnfStyle w:val="000000010000" w:firstRow="0" w:lastRow="0" w:firstColumn="0" w:lastColumn="0" w:oddVBand="0" w:evenVBand="0" w:oddHBand="0" w:evenHBand="1" w:firstRowFirstColumn="0" w:firstRowLastColumn="0" w:lastRowFirstColumn="0" w:lastRowLastColumn="0"/>
        </w:trPr>
        <w:tc>
          <w:tcPr>
            <w:tcW w:w="1271" w:type="dxa"/>
          </w:tcPr>
          <w:p w14:paraId="316035B7" w14:textId="77777777" w:rsidR="009D7441" w:rsidRDefault="009D7441" w:rsidP="002B1243">
            <w:pPr>
              <w:pStyle w:val="TableParagraph"/>
              <w:spacing w:before="0" w:after="0"/>
            </w:pPr>
            <w:r>
              <w:t xml:space="preserve">Number of Referrals </w:t>
            </w:r>
          </w:p>
        </w:tc>
        <w:tc>
          <w:tcPr>
            <w:tcW w:w="2092" w:type="dxa"/>
            <w:vAlign w:val="center"/>
          </w:tcPr>
          <w:p w14:paraId="52F97BC8" w14:textId="77777777" w:rsidR="009D7441" w:rsidRDefault="009D7441" w:rsidP="002B1243">
            <w:pPr>
              <w:pStyle w:val="TableParagraph"/>
              <w:spacing w:before="0" w:after="0"/>
              <w:jc w:val="center"/>
            </w:pPr>
            <w:r>
              <w:t>318</w:t>
            </w:r>
          </w:p>
        </w:tc>
        <w:tc>
          <w:tcPr>
            <w:tcW w:w="1681" w:type="dxa"/>
            <w:vAlign w:val="center"/>
          </w:tcPr>
          <w:p w14:paraId="480E7A60" w14:textId="77777777" w:rsidR="009D7441" w:rsidRDefault="009D7441" w:rsidP="002B1243">
            <w:pPr>
              <w:pStyle w:val="TableParagraph"/>
              <w:spacing w:before="0" w:after="0"/>
              <w:jc w:val="center"/>
            </w:pPr>
            <w:r w:rsidRPr="00D21E6E">
              <w:t>387</w:t>
            </w:r>
          </w:p>
        </w:tc>
        <w:tc>
          <w:tcPr>
            <w:tcW w:w="1682" w:type="dxa"/>
            <w:vAlign w:val="center"/>
          </w:tcPr>
          <w:p w14:paraId="6E79A318" w14:textId="77777777" w:rsidR="009D7441" w:rsidRDefault="009D7441" w:rsidP="002B1243">
            <w:pPr>
              <w:pStyle w:val="TableParagraph"/>
              <w:spacing w:before="0" w:after="0"/>
              <w:jc w:val="center"/>
            </w:pPr>
            <w:r w:rsidRPr="00D21E6E">
              <w:t>1,491</w:t>
            </w:r>
          </w:p>
        </w:tc>
        <w:tc>
          <w:tcPr>
            <w:tcW w:w="1682" w:type="dxa"/>
            <w:vAlign w:val="center"/>
          </w:tcPr>
          <w:p w14:paraId="4B72B0FA" w14:textId="77777777" w:rsidR="009D7441" w:rsidRDefault="009D7441" w:rsidP="002B1243">
            <w:pPr>
              <w:pStyle w:val="TableParagraph"/>
              <w:spacing w:before="0" w:after="0"/>
              <w:jc w:val="center"/>
            </w:pPr>
            <w:r w:rsidRPr="00D21E6E">
              <w:t>2,683</w:t>
            </w:r>
          </w:p>
        </w:tc>
        <w:tc>
          <w:tcPr>
            <w:tcW w:w="1681" w:type="dxa"/>
            <w:vAlign w:val="center"/>
          </w:tcPr>
          <w:p w14:paraId="09FC37F9" w14:textId="77777777" w:rsidR="009D7441" w:rsidRPr="00D21E6E" w:rsidRDefault="00974A98" w:rsidP="002B1243">
            <w:pPr>
              <w:pStyle w:val="TableParagraph"/>
              <w:spacing w:before="0" w:after="0"/>
              <w:jc w:val="center"/>
            </w:pPr>
            <w:r>
              <w:t>Not available</w:t>
            </w:r>
          </w:p>
        </w:tc>
        <w:tc>
          <w:tcPr>
            <w:tcW w:w="1681" w:type="dxa"/>
            <w:vAlign w:val="center"/>
          </w:tcPr>
          <w:p w14:paraId="2BFBF412" w14:textId="77777777" w:rsidR="009D7441" w:rsidRDefault="009D7441" w:rsidP="002B1243">
            <w:pPr>
              <w:pStyle w:val="TableParagraph"/>
              <w:spacing w:before="0" w:after="0"/>
              <w:jc w:val="center"/>
            </w:pPr>
            <w:r w:rsidRPr="00D21E6E">
              <w:t>510</w:t>
            </w:r>
          </w:p>
        </w:tc>
        <w:tc>
          <w:tcPr>
            <w:tcW w:w="1682" w:type="dxa"/>
            <w:vAlign w:val="center"/>
          </w:tcPr>
          <w:p w14:paraId="7BCF1B3F" w14:textId="77777777" w:rsidR="009D7441" w:rsidRPr="00D140E4" w:rsidRDefault="009D7441" w:rsidP="002B1243">
            <w:pPr>
              <w:pStyle w:val="TableParagraph"/>
              <w:spacing w:before="0" w:after="0"/>
              <w:jc w:val="center"/>
            </w:pPr>
            <w:r>
              <w:t>72</w:t>
            </w:r>
          </w:p>
        </w:tc>
        <w:tc>
          <w:tcPr>
            <w:tcW w:w="1682" w:type="dxa"/>
            <w:vAlign w:val="center"/>
          </w:tcPr>
          <w:p w14:paraId="53552F61" w14:textId="77777777" w:rsidR="009D7441" w:rsidRDefault="009D7441" w:rsidP="002B1243">
            <w:pPr>
              <w:pStyle w:val="TableParagraph"/>
              <w:spacing w:before="0" w:after="0"/>
              <w:jc w:val="center"/>
            </w:pPr>
            <w:r w:rsidRPr="009D7441">
              <w:t>5,461</w:t>
            </w:r>
          </w:p>
        </w:tc>
      </w:tr>
    </w:tbl>
    <w:p w14:paraId="68E79C50" w14:textId="77777777" w:rsidR="00524DD1" w:rsidRDefault="00D140E4" w:rsidP="002B1243">
      <w:pPr>
        <w:pStyle w:val="Quote"/>
        <w:spacing w:after="0"/>
        <w:sectPr w:rsidR="00524DD1" w:rsidSect="008A38A6">
          <w:pgSz w:w="16840" w:h="11910" w:orient="landscape"/>
          <w:pgMar w:top="1418" w:right="1418" w:bottom="709" w:left="278" w:header="720" w:footer="720" w:gutter="0"/>
          <w:cols w:space="720"/>
        </w:sectPr>
      </w:pPr>
      <w:r>
        <w:t xml:space="preserve">Source: Information provided by Basildon and Brentwood CVS; </w:t>
      </w:r>
      <w:r w:rsidR="000A7FD5">
        <w:t>Castle Point</w:t>
      </w:r>
      <w:r w:rsidR="00303461">
        <w:t xml:space="preserve"> </w:t>
      </w:r>
      <w:r>
        <w:t>Association Voluntary Services;</w:t>
      </w:r>
      <w:r w:rsidR="002673BF">
        <w:t xml:space="preserve"> Chelmsford CVS</w:t>
      </w:r>
      <w:r>
        <w:t xml:space="preserve">; </w:t>
      </w:r>
      <w:r w:rsidR="000F3D1A">
        <w:t>C</w:t>
      </w:r>
      <w:r w:rsidR="000A7FD5">
        <w:t xml:space="preserve">olchester </w:t>
      </w:r>
      <w:r w:rsidR="000F3D1A">
        <w:t>CVS</w:t>
      </w:r>
      <w:r>
        <w:t xml:space="preserve">; </w:t>
      </w:r>
      <w:r w:rsidR="000A7FD5">
        <w:t xml:space="preserve">ECC, </w:t>
      </w:r>
      <w:r>
        <w:t>Age UK Esse</w:t>
      </w:r>
      <w:r w:rsidR="00B51E91">
        <w:t>x</w:t>
      </w:r>
      <w:r w:rsidR="000A7FD5">
        <w:t>, Southend Association Voluntary Services</w:t>
      </w:r>
      <w:r w:rsidR="00275582">
        <w:t xml:space="preserve"> (June 2017)</w:t>
      </w:r>
    </w:p>
    <w:p w14:paraId="186496D6" w14:textId="73AAEDEB" w:rsidR="009F2C46" w:rsidRDefault="003F5054" w:rsidP="00AE785D">
      <w:pPr>
        <w:pStyle w:val="BodyText-parastyle"/>
      </w:pPr>
      <w:r>
        <w:lastRenderedPageBreak/>
        <w:t xml:space="preserve">Table </w:t>
      </w:r>
      <w:r w:rsidR="004B7FF5">
        <w:t>6.1</w:t>
      </w:r>
      <w:r>
        <w:t xml:space="preserve"> shows that in total the Social Prescribing projects have been</w:t>
      </w:r>
      <w:r w:rsidR="009D7441">
        <w:t xml:space="preserve"> provided with total funding of </w:t>
      </w:r>
      <w:r w:rsidR="0061217A" w:rsidRPr="0061217A">
        <w:t>£1,190,942</w:t>
      </w:r>
      <w:r w:rsidR="009D7441">
        <w:t>,</w:t>
      </w:r>
      <w:r>
        <w:t xml:space="preserve"> mainly from the T</w:t>
      </w:r>
      <w:r w:rsidR="00D465F1">
        <w:t>CA and ECC Funding.</w:t>
      </w:r>
      <w:r>
        <w:t xml:space="preserve"> </w:t>
      </w:r>
    </w:p>
    <w:p w14:paraId="65FB4730" w14:textId="77777777" w:rsidR="002731F9" w:rsidRDefault="001A0D48" w:rsidP="00AE785D">
      <w:pPr>
        <w:pStyle w:val="BodyText-parastyle"/>
      </w:pPr>
      <w:r>
        <w:t>F</w:t>
      </w:r>
      <w:r w:rsidR="003F5054">
        <w:t xml:space="preserve">unding in some areas is also provided by other sources, for example </w:t>
      </w:r>
      <w:r w:rsidR="00E26757">
        <w:t>the</w:t>
      </w:r>
      <w:r>
        <w:t xml:space="preserve"> Tendring Mental Health Hub had </w:t>
      </w:r>
      <w:r w:rsidR="003F5054">
        <w:t xml:space="preserve">a contract from the </w:t>
      </w:r>
      <w:r>
        <w:t>NE</w:t>
      </w:r>
      <w:r w:rsidR="003F5054">
        <w:t xml:space="preserve">CCG, an </w:t>
      </w:r>
      <w:r w:rsidR="00A9450E">
        <w:t>OPCC</w:t>
      </w:r>
      <w:r w:rsidR="003F5054">
        <w:t xml:space="preserve"> grant and funds from Tendring District Council.</w:t>
      </w:r>
      <w:r w:rsidR="00D77751">
        <w:t xml:space="preserve"> </w:t>
      </w:r>
      <w:r>
        <w:t xml:space="preserve">Southend had funds from Southend Public Health. </w:t>
      </w:r>
      <w:r w:rsidR="003F5054">
        <w:t>Most projects are being run by only 1-2 people FT/PT people</w:t>
      </w:r>
      <w:r w:rsidR="00974A98">
        <w:t xml:space="preserve">. </w:t>
      </w:r>
    </w:p>
    <w:p w14:paraId="73E6E629" w14:textId="6286A672" w:rsidR="00D12D6E" w:rsidRDefault="00DC7AFE" w:rsidP="002731F9">
      <w:pPr>
        <w:pStyle w:val="Heading2"/>
      </w:pPr>
      <w:bookmarkStart w:id="48" w:name="_Toc497934278"/>
      <w:r>
        <w:t>Outputs</w:t>
      </w:r>
      <w:bookmarkEnd w:id="48"/>
    </w:p>
    <w:p w14:paraId="7C18980B" w14:textId="1E6F5118" w:rsidR="00760EA4" w:rsidRDefault="00760EA4" w:rsidP="00AE785D">
      <w:pPr>
        <w:pStyle w:val="BodyText-parastyle"/>
      </w:pPr>
      <w:r>
        <w:t xml:space="preserve">The outputs </w:t>
      </w:r>
      <w:r w:rsidR="00E16733">
        <w:t xml:space="preserve">that were recorded by each of the projects </w:t>
      </w:r>
      <w:r>
        <w:t xml:space="preserve">relate to </w:t>
      </w:r>
      <w:r w:rsidR="00E16733">
        <w:t>the number of referrals in and onward referrals to other support organisations</w:t>
      </w:r>
      <w:r w:rsidR="00234FBE">
        <w:t>.</w:t>
      </w:r>
      <w:r w:rsidR="00E16733">
        <w:t xml:space="preserve">  </w:t>
      </w:r>
    </w:p>
    <w:p w14:paraId="568DE697" w14:textId="238F0EAA" w:rsidR="00822D41" w:rsidRPr="00822D41" w:rsidRDefault="003F5054" w:rsidP="00AE785D">
      <w:pPr>
        <w:pStyle w:val="BodyText-parastyle"/>
      </w:pPr>
      <w:r w:rsidRPr="003F5054">
        <w:t xml:space="preserve">The following table details the </w:t>
      </w:r>
      <w:r w:rsidR="008A743D">
        <w:t>target and actual number of referrals</w:t>
      </w:r>
      <w:r w:rsidR="00B56D0C">
        <w:t xml:space="preserve"> to </w:t>
      </w:r>
      <w:r w:rsidR="008A743D">
        <w:t xml:space="preserve">each Social Prescribing project. </w:t>
      </w:r>
    </w:p>
    <w:p w14:paraId="1CD40DCB" w14:textId="0602CD45" w:rsidR="003F5054" w:rsidRPr="002731F9" w:rsidRDefault="003F5054"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w:t>
      </w:r>
      <w:r w:rsidR="00603E87">
        <w:fldChar w:fldCharType="end"/>
      </w:r>
      <w:r>
        <w:t xml:space="preserve">: </w:t>
      </w:r>
      <w:r w:rsidR="00B56D0C">
        <w:t xml:space="preserve">Referrals to the </w:t>
      </w:r>
      <w:r>
        <w:t xml:space="preserve">Social Prescribing by </w:t>
      </w:r>
      <w:r w:rsidR="008A743D">
        <w:t>l</w:t>
      </w:r>
      <w:r w:rsidR="00A44EE1">
        <w:t>ocality (at 31 March 2017)</w:t>
      </w:r>
    </w:p>
    <w:tbl>
      <w:tblPr>
        <w:tblStyle w:val="TableGrid"/>
        <w:tblW w:w="0" w:type="auto"/>
        <w:tblLook w:val="04A0" w:firstRow="1" w:lastRow="0" w:firstColumn="1" w:lastColumn="0" w:noHBand="0" w:noVBand="1"/>
      </w:tblPr>
      <w:tblGrid>
        <w:gridCol w:w="1160"/>
        <w:gridCol w:w="1273"/>
        <w:gridCol w:w="1159"/>
        <w:gridCol w:w="969"/>
        <w:gridCol w:w="1370"/>
        <w:gridCol w:w="1005"/>
        <w:gridCol w:w="1177"/>
        <w:gridCol w:w="964"/>
        <w:gridCol w:w="918"/>
      </w:tblGrid>
      <w:tr w:rsidR="00242A80" w14:paraId="0D95B92C" w14:textId="77777777" w:rsidTr="00A4634C">
        <w:trPr>
          <w:cnfStyle w:val="100000000000" w:firstRow="1" w:lastRow="0" w:firstColumn="0" w:lastColumn="0" w:oddVBand="0" w:evenVBand="0" w:oddHBand="0" w:evenHBand="0" w:firstRowFirstColumn="0" w:firstRowLastColumn="0" w:lastRowFirstColumn="0" w:lastRowLastColumn="0"/>
          <w:tblHeader/>
        </w:trPr>
        <w:tc>
          <w:tcPr>
            <w:tcW w:w="1115" w:type="dxa"/>
          </w:tcPr>
          <w:p w14:paraId="0E21DD8C" w14:textId="77777777" w:rsidR="00242A80" w:rsidRPr="00C413A5" w:rsidRDefault="00242A80" w:rsidP="0012257C">
            <w:pPr>
              <w:pStyle w:val="TableHeading"/>
              <w:rPr>
                <w:rFonts w:ascii="Arial Narrow" w:hAnsi="Arial Narrow"/>
              </w:rPr>
            </w:pPr>
          </w:p>
        </w:tc>
        <w:tc>
          <w:tcPr>
            <w:tcW w:w="1246" w:type="dxa"/>
          </w:tcPr>
          <w:p w14:paraId="443CEB32" w14:textId="77777777" w:rsidR="00242A80" w:rsidRPr="00C413A5" w:rsidRDefault="00242A80" w:rsidP="0012257C">
            <w:pPr>
              <w:pStyle w:val="TableHeading"/>
              <w:rPr>
                <w:rFonts w:ascii="Arial Narrow" w:hAnsi="Arial Narrow"/>
              </w:rPr>
            </w:pPr>
            <w:r w:rsidRPr="00C413A5">
              <w:rPr>
                <w:rFonts w:ascii="Arial Narrow" w:hAnsi="Arial Narrow"/>
              </w:rPr>
              <w:t>Basildon and Brentwood</w:t>
            </w:r>
            <w:r w:rsidRPr="00C413A5">
              <w:rPr>
                <w:rStyle w:val="FootnoteReference"/>
                <w:rFonts w:ascii="Arial Narrow" w:hAnsi="Arial Narrow"/>
              </w:rPr>
              <w:footnoteReference w:id="65"/>
            </w:r>
            <w:r w:rsidRPr="00C413A5">
              <w:rPr>
                <w:rFonts w:ascii="Arial Narrow" w:hAnsi="Arial Narrow"/>
              </w:rPr>
              <w:t xml:space="preserve"> </w:t>
            </w:r>
          </w:p>
        </w:tc>
        <w:tc>
          <w:tcPr>
            <w:tcW w:w="1131" w:type="dxa"/>
          </w:tcPr>
          <w:p w14:paraId="7017C4DD" w14:textId="77777777" w:rsidR="00242A80" w:rsidRPr="00C413A5" w:rsidRDefault="00242A80" w:rsidP="0012257C">
            <w:pPr>
              <w:pStyle w:val="TableHeading"/>
              <w:rPr>
                <w:rFonts w:ascii="Arial Narrow" w:hAnsi="Arial Narrow"/>
              </w:rPr>
            </w:pPr>
            <w:r w:rsidRPr="00C413A5">
              <w:rPr>
                <w:rFonts w:ascii="Arial Narrow" w:hAnsi="Arial Narrow"/>
              </w:rPr>
              <w:t>Castle Point and Rochford</w:t>
            </w:r>
            <w:r w:rsidRPr="00C413A5">
              <w:rPr>
                <w:rStyle w:val="FootnoteReference"/>
                <w:rFonts w:ascii="Arial Narrow" w:hAnsi="Arial Narrow"/>
              </w:rPr>
              <w:footnoteReference w:id="66"/>
            </w:r>
          </w:p>
        </w:tc>
        <w:tc>
          <w:tcPr>
            <w:tcW w:w="936" w:type="dxa"/>
          </w:tcPr>
          <w:p w14:paraId="5AE83B1C" w14:textId="77777777" w:rsidR="00242A80" w:rsidRPr="00C413A5" w:rsidRDefault="00242A80" w:rsidP="0012257C">
            <w:pPr>
              <w:pStyle w:val="TableHeading"/>
              <w:rPr>
                <w:rFonts w:ascii="Arial Narrow" w:hAnsi="Arial Narrow"/>
              </w:rPr>
            </w:pPr>
            <w:r w:rsidRPr="00C413A5">
              <w:rPr>
                <w:rFonts w:ascii="Arial Narrow" w:hAnsi="Arial Narrow"/>
              </w:rPr>
              <w:t>Mid Essex</w:t>
            </w:r>
            <w:r w:rsidRPr="00C413A5">
              <w:rPr>
                <w:rStyle w:val="FootnoteReference"/>
                <w:rFonts w:ascii="Arial Narrow" w:hAnsi="Arial Narrow"/>
              </w:rPr>
              <w:footnoteReference w:id="67"/>
            </w:r>
          </w:p>
        </w:tc>
        <w:tc>
          <w:tcPr>
            <w:tcW w:w="1340" w:type="dxa"/>
          </w:tcPr>
          <w:p w14:paraId="1A307F82" w14:textId="77777777" w:rsidR="00242A80" w:rsidRPr="00C413A5" w:rsidRDefault="00242A80" w:rsidP="00822D41">
            <w:pPr>
              <w:pStyle w:val="TableHeading"/>
              <w:rPr>
                <w:rFonts w:ascii="Arial Narrow" w:hAnsi="Arial Narrow"/>
              </w:rPr>
            </w:pPr>
            <w:r w:rsidRPr="00C413A5">
              <w:rPr>
                <w:rFonts w:ascii="Arial Narrow" w:hAnsi="Arial Narrow"/>
              </w:rPr>
              <w:t>NE Essex – My Social Prescription</w:t>
            </w:r>
            <w:r w:rsidRPr="00C413A5">
              <w:rPr>
                <w:rStyle w:val="FootnoteReference"/>
                <w:rFonts w:ascii="Arial Narrow" w:hAnsi="Arial Narrow"/>
              </w:rPr>
              <w:footnoteReference w:id="68"/>
            </w:r>
            <w:r w:rsidRPr="00C413A5">
              <w:rPr>
                <w:rFonts w:ascii="Arial Narrow" w:hAnsi="Arial Narrow"/>
              </w:rPr>
              <w:t xml:space="preserve"> </w:t>
            </w:r>
          </w:p>
        </w:tc>
        <w:tc>
          <w:tcPr>
            <w:tcW w:w="966" w:type="dxa"/>
          </w:tcPr>
          <w:p w14:paraId="51986C00" w14:textId="77777777" w:rsidR="00242A80" w:rsidRPr="00C413A5" w:rsidRDefault="00242A80" w:rsidP="0012257C">
            <w:pPr>
              <w:pStyle w:val="TableHeading"/>
              <w:rPr>
                <w:rFonts w:ascii="Arial Narrow" w:hAnsi="Arial Narrow"/>
              </w:rPr>
            </w:pPr>
            <w:r w:rsidRPr="00C413A5">
              <w:rPr>
                <w:rFonts w:ascii="Arial Narrow" w:hAnsi="Arial Narrow"/>
              </w:rPr>
              <w:t>West Essex</w:t>
            </w:r>
            <w:r w:rsidRPr="00C413A5">
              <w:rPr>
                <w:rStyle w:val="FootnoteReference"/>
                <w:rFonts w:ascii="Arial Narrow" w:hAnsi="Arial Narrow"/>
              </w:rPr>
              <w:footnoteReference w:id="69"/>
            </w:r>
          </w:p>
        </w:tc>
        <w:tc>
          <w:tcPr>
            <w:tcW w:w="1153" w:type="dxa"/>
          </w:tcPr>
          <w:p w14:paraId="5F742AAB" w14:textId="77777777" w:rsidR="00242A80" w:rsidRPr="00C413A5" w:rsidRDefault="00242A80" w:rsidP="0012257C">
            <w:pPr>
              <w:pStyle w:val="TableHeading"/>
              <w:rPr>
                <w:rFonts w:ascii="Arial Narrow" w:hAnsi="Arial Narrow"/>
              </w:rPr>
            </w:pPr>
            <w:r w:rsidRPr="00C413A5">
              <w:rPr>
                <w:rFonts w:ascii="Arial Narrow" w:hAnsi="Arial Narrow"/>
              </w:rPr>
              <w:t>Southend</w:t>
            </w:r>
            <w:r w:rsidRPr="00C413A5">
              <w:rPr>
                <w:rStyle w:val="FootnoteReference"/>
                <w:rFonts w:ascii="Arial Narrow" w:hAnsi="Arial Narrow"/>
              </w:rPr>
              <w:footnoteReference w:id="70"/>
            </w:r>
          </w:p>
        </w:tc>
        <w:tc>
          <w:tcPr>
            <w:tcW w:w="964" w:type="dxa"/>
          </w:tcPr>
          <w:p w14:paraId="0695C6D4" w14:textId="77777777" w:rsidR="00242A80" w:rsidRPr="00C413A5" w:rsidRDefault="00242A80" w:rsidP="0012257C">
            <w:pPr>
              <w:pStyle w:val="TableHeading"/>
              <w:rPr>
                <w:rFonts w:ascii="Arial Narrow" w:hAnsi="Arial Narrow"/>
              </w:rPr>
            </w:pPr>
            <w:r w:rsidRPr="00C413A5">
              <w:rPr>
                <w:rFonts w:ascii="Arial Narrow" w:hAnsi="Arial Narrow"/>
              </w:rPr>
              <w:t>Total (excluding West Essex)</w:t>
            </w:r>
          </w:p>
        </w:tc>
        <w:tc>
          <w:tcPr>
            <w:tcW w:w="918" w:type="dxa"/>
          </w:tcPr>
          <w:p w14:paraId="3AF96B4A" w14:textId="77777777" w:rsidR="00242A80" w:rsidRPr="00C413A5" w:rsidRDefault="00242A80" w:rsidP="00242A80">
            <w:pPr>
              <w:pStyle w:val="TableHeading"/>
              <w:rPr>
                <w:rFonts w:ascii="Arial Narrow" w:hAnsi="Arial Narrow"/>
                <w:i/>
              </w:rPr>
            </w:pPr>
            <w:r w:rsidRPr="00C413A5">
              <w:rPr>
                <w:rFonts w:ascii="Arial Narrow" w:hAnsi="Arial Narrow"/>
                <w:i/>
              </w:rPr>
              <w:t>Total (including West Essex)</w:t>
            </w:r>
          </w:p>
        </w:tc>
      </w:tr>
      <w:tr w:rsidR="00A4634C" w14:paraId="20C0319C" w14:textId="77777777" w:rsidTr="00A4634C">
        <w:trPr>
          <w:cnfStyle w:val="000000100000" w:firstRow="0" w:lastRow="0" w:firstColumn="0" w:lastColumn="0" w:oddVBand="0" w:evenVBand="0" w:oddHBand="1" w:evenHBand="0" w:firstRowFirstColumn="0" w:firstRowLastColumn="0" w:lastRowFirstColumn="0" w:lastRowLastColumn="0"/>
        </w:trPr>
        <w:tc>
          <w:tcPr>
            <w:tcW w:w="1235" w:type="dxa"/>
          </w:tcPr>
          <w:p w14:paraId="43ED84CE" w14:textId="77777777" w:rsidR="00A4634C" w:rsidRPr="00C413A5" w:rsidRDefault="00A4634C" w:rsidP="00A4634C">
            <w:pPr>
              <w:pStyle w:val="TableParagraph"/>
              <w:rPr>
                <w:rFonts w:ascii="Arial Narrow" w:hAnsi="Arial Narrow"/>
              </w:rPr>
            </w:pPr>
            <w:r w:rsidRPr="00C413A5">
              <w:rPr>
                <w:rFonts w:ascii="Arial Narrow" w:hAnsi="Arial Narrow"/>
              </w:rPr>
              <w:t>Target number of service users (referrals in)</w:t>
            </w:r>
          </w:p>
        </w:tc>
        <w:tc>
          <w:tcPr>
            <w:tcW w:w="1317" w:type="dxa"/>
            <w:vAlign w:val="center"/>
          </w:tcPr>
          <w:p w14:paraId="0A0CB90B" w14:textId="77777777" w:rsidR="00A4634C" w:rsidRPr="00C413A5" w:rsidRDefault="00A4634C" w:rsidP="00A4634C">
            <w:pPr>
              <w:pStyle w:val="TableParagraph"/>
              <w:jc w:val="center"/>
              <w:rPr>
                <w:rFonts w:ascii="Arial Narrow" w:hAnsi="Arial Narrow"/>
              </w:rPr>
            </w:pPr>
            <w:r w:rsidRPr="00C413A5">
              <w:rPr>
                <w:rFonts w:ascii="Arial Narrow" w:hAnsi="Arial Narrow"/>
              </w:rPr>
              <w:t>875</w:t>
            </w:r>
          </w:p>
        </w:tc>
        <w:tc>
          <w:tcPr>
            <w:tcW w:w="1204" w:type="dxa"/>
            <w:vAlign w:val="center"/>
          </w:tcPr>
          <w:p w14:paraId="2523852F" w14:textId="77777777" w:rsidR="00A4634C" w:rsidRPr="00C413A5" w:rsidRDefault="00A4634C" w:rsidP="00A4634C">
            <w:pPr>
              <w:pStyle w:val="TableParagraph"/>
              <w:jc w:val="center"/>
              <w:rPr>
                <w:rFonts w:ascii="Arial Narrow" w:hAnsi="Arial Narrow"/>
              </w:rPr>
            </w:pPr>
            <w:r w:rsidRPr="00C413A5">
              <w:rPr>
                <w:rFonts w:ascii="Arial Narrow" w:hAnsi="Arial Narrow"/>
              </w:rPr>
              <w:t>1,127 (pro rata)</w:t>
            </w:r>
            <w:r w:rsidRPr="00C413A5">
              <w:rPr>
                <w:rStyle w:val="FootnoteReference"/>
                <w:rFonts w:ascii="Arial Narrow" w:hAnsi="Arial Narrow"/>
              </w:rPr>
              <w:footnoteReference w:id="71"/>
            </w:r>
          </w:p>
        </w:tc>
        <w:tc>
          <w:tcPr>
            <w:tcW w:w="1022" w:type="dxa"/>
            <w:vAlign w:val="center"/>
          </w:tcPr>
          <w:p w14:paraId="5EB919AA" w14:textId="77777777" w:rsidR="00A4634C" w:rsidRPr="00C413A5" w:rsidRDefault="00A4634C" w:rsidP="00A4634C">
            <w:pPr>
              <w:pStyle w:val="TableParagraph"/>
              <w:jc w:val="center"/>
              <w:rPr>
                <w:rFonts w:ascii="Arial Narrow" w:hAnsi="Arial Narrow"/>
              </w:rPr>
            </w:pPr>
            <w:r>
              <w:rPr>
                <w:rFonts w:ascii="Arial Narrow" w:hAnsi="Arial Narrow"/>
              </w:rPr>
              <w:t>315 (pro rata)</w:t>
            </w:r>
            <w:r>
              <w:rPr>
                <w:rStyle w:val="FootnoteReference"/>
                <w:rFonts w:ascii="Arial Narrow" w:hAnsi="Arial Narrow"/>
              </w:rPr>
              <w:footnoteReference w:id="72"/>
            </w:r>
          </w:p>
        </w:tc>
        <w:tc>
          <w:tcPr>
            <w:tcW w:w="1418" w:type="dxa"/>
            <w:vAlign w:val="center"/>
          </w:tcPr>
          <w:p w14:paraId="7E1A746F" w14:textId="77777777" w:rsidR="00A4634C" w:rsidRPr="00C413A5" w:rsidRDefault="00A4634C" w:rsidP="00A4634C">
            <w:pPr>
              <w:pStyle w:val="TableParagraph"/>
              <w:jc w:val="center"/>
              <w:rPr>
                <w:rFonts w:ascii="Arial Narrow" w:hAnsi="Arial Narrow"/>
              </w:rPr>
            </w:pPr>
            <w:r w:rsidRPr="00C413A5">
              <w:rPr>
                <w:rFonts w:ascii="Arial Narrow" w:hAnsi="Arial Narrow"/>
              </w:rPr>
              <w:t>999</w:t>
            </w:r>
          </w:p>
        </w:tc>
        <w:tc>
          <w:tcPr>
            <w:tcW w:w="1068" w:type="dxa"/>
            <w:vAlign w:val="center"/>
          </w:tcPr>
          <w:p w14:paraId="57F1B2D2" w14:textId="77777777" w:rsidR="00A4634C" w:rsidRPr="00C413A5" w:rsidRDefault="00A4634C" w:rsidP="00A4634C">
            <w:pPr>
              <w:pStyle w:val="TableParagraph"/>
              <w:jc w:val="center"/>
              <w:rPr>
                <w:rFonts w:ascii="Arial Narrow" w:hAnsi="Arial Narrow"/>
              </w:rPr>
            </w:pPr>
            <w:r w:rsidRPr="00C413A5">
              <w:rPr>
                <w:rFonts w:ascii="Arial Narrow" w:hAnsi="Arial Narrow"/>
              </w:rPr>
              <w:t>No Target Set</w:t>
            </w:r>
          </w:p>
        </w:tc>
        <w:tc>
          <w:tcPr>
            <w:tcW w:w="1217" w:type="dxa"/>
            <w:vAlign w:val="center"/>
          </w:tcPr>
          <w:p w14:paraId="6E65FCBA" w14:textId="77777777" w:rsidR="00A4634C" w:rsidRPr="00C413A5" w:rsidRDefault="00A4634C" w:rsidP="00A4634C">
            <w:pPr>
              <w:pStyle w:val="TableParagraph"/>
              <w:jc w:val="center"/>
              <w:rPr>
                <w:rFonts w:ascii="Arial Narrow" w:hAnsi="Arial Narrow"/>
              </w:rPr>
            </w:pPr>
            <w:r w:rsidRPr="00C413A5">
              <w:rPr>
                <w:rFonts w:ascii="Arial Narrow" w:hAnsi="Arial Narrow"/>
              </w:rPr>
              <w:t>75</w:t>
            </w:r>
          </w:p>
        </w:tc>
        <w:tc>
          <w:tcPr>
            <w:tcW w:w="765" w:type="dxa"/>
            <w:vAlign w:val="center"/>
          </w:tcPr>
          <w:p w14:paraId="599D4EA0" w14:textId="77777777" w:rsidR="00A4634C" w:rsidRPr="00C413A5" w:rsidRDefault="00A4634C" w:rsidP="00A4634C">
            <w:pPr>
              <w:pStyle w:val="TableParagraph"/>
              <w:jc w:val="center"/>
              <w:rPr>
                <w:rFonts w:ascii="Arial Narrow" w:hAnsi="Arial Narrow"/>
              </w:rPr>
            </w:pPr>
            <w:r w:rsidRPr="00BD3261">
              <w:t>3,391</w:t>
            </w:r>
          </w:p>
        </w:tc>
        <w:tc>
          <w:tcPr>
            <w:tcW w:w="523" w:type="dxa"/>
            <w:vAlign w:val="center"/>
          </w:tcPr>
          <w:p w14:paraId="02DE2F10" w14:textId="77777777" w:rsidR="00A4634C" w:rsidRPr="00A4634C" w:rsidRDefault="00A4634C" w:rsidP="00A4634C">
            <w:pPr>
              <w:pStyle w:val="TableParagraph"/>
              <w:jc w:val="center"/>
              <w:rPr>
                <w:rFonts w:ascii="Arial Narrow" w:hAnsi="Arial Narrow"/>
                <w:i/>
              </w:rPr>
            </w:pPr>
            <w:r w:rsidRPr="00A4634C">
              <w:rPr>
                <w:i/>
              </w:rPr>
              <w:t>3,391</w:t>
            </w:r>
          </w:p>
        </w:tc>
      </w:tr>
      <w:tr w:rsidR="00A4634C" w14:paraId="0C5BC530" w14:textId="77777777" w:rsidTr="00A4634C">
        <w:trPr>
          <w:cnfStyle w:val="000000010000" w:firstRow="0" w:lastRow="0" w:firstColumn="0" w:lastColumn="0" w:oddVBand="0" w:evenVBand="0" w:oddHBand="0" w:evenHBand="1" w:firstRowFirstColumn="0" w:firstRowLastColumn="0" w:lastRowFirstColumn="0" w:lastRowLastColumn="0"/>
        </w:trPr>
        <w:tc>
          <w:tcPr>
            <w:tcW w:w="1115" w:type="dxa"/>
          </w:tcPr>
          <w:p w14:paraId="083BFB61" w14:textId="77777777" w:rsidR="00A4634C" w:rsidRPr="00C413A5" w:rsidRDefault="00A4634C" w:rsidP="00A4634C">
            <w:pPr>
              <w:pStyle w:val="TableParagraph"/>
              <w:rPr>
                <w:rFonts w:ascii="Arial Narrow" w:hAnsi="Arial Narrow"/>
              </w:rPr>
            </w:pPr>
            <w:r w:rsidRPr="00C413A5">
              <w:rPr>
                <w:rFonts w:ascii="Arial Narrow" w:hAnsi="Arial Narrow"/>
              </w:rPr>
              <w:t xml:space="preserve">Actual number of referrals </w:t>
            </w:r>
          </w:p>
        </w:tc>
        <w:tc>
          <w:tcPr>
            <w:tcW w:w="1246" w:type="dxa"/>
            <w:vAlign w:val="center"/>
          </w:tcPr>
          <w:p w14:paraId="00276A38" w14:textId="77777777" w:rsidR="00A4634C" w:rsidRPr="00C413A5" w:rsidRDefault="00A4634C" w:rsidP="00A4634C">
            <w:pPr>
              <w:pStyle w:val="TableParagraph"/>
              <w:jc w:val="center"/>
              <w:rPr>
                <w:rFonts w:ascii="Arial Narrow" w:hAnsi="Arial Narrow"/>
              </w:rPr>
            </w:pPr>
            <w:r w:rsidRPr="00C413A5">
              <w:rPr>
                <w:rFonts w:ascii="Arial Narrow" w:hAnsi="Arial Narrow"/>
              </w:rPr>
              <w:t>318</w:t>
            </w:r>
          </w:p>
        </w:tc>
        <w:tc>
          <w:tcPr>
            <w:tcW w:w="1131" w:type="dxa"/>
            <w:vAlign w:val="center"/>
          </w:tcPr>
          <w:p w14:paraId="03229FBE" w14:textId="77777777" w:rsidR="00A4634C" w:rsidRPr="00C413A5" w:rsidRDefault="00A4634C" w:rsidP="00A4634C">
            <w:pPr>
              <w:pStyle w:val="TableParagraph"/>
              <w:jc w:val="center"/>
              <w:rPr>
                <w:rFonts w:ascii="Arial Narrow" w:hAnsi="Arial Narrow"/>
              </w:rPr>
            </w:pPr>
            <w:r w:rsidRPr="00C413A5">
              <w:rPr>
                <w:rFonts w:ascii="Arial Narrow" w:hAnsi="Arial Narrow"/>
              </w:rPr>
              <w:t>387</w:t>
            </w:r>
          </w:p>
        </w:tc>
        <w:tc>
          <w:tcPr>
            <w:tcW w:w="936" w:type="dxa"/>
            <w:vAlign w:val="center"/>
          </w:tcPr>
          <w:p w14:paraId="6256F4BE" w14:textId="77777777" w:rsidR="00A4634C" w:rsidRPr="00C413A5" w:rsidRDefault="00A4634C" w:rsidP="00A4634C">
            <w:pPr>
              <w:pStyle w:val="TableParagraph"/>
              <w:jc w:val="center"/>
              <w:rPr>
                <w:rFonts w:ascii="Arial Narrow" w:hAnsi="Arial Narrow"/>
              </w:rPr>
            </w:pPr>
            <w:r w:rsidRPr="00C413A5">
              <w:rPr>
                <w:rFonts w:ascii="Arial Narrow" w:hAnsi="Arial Narrow"/>
              </w:rPr>
              <w:t>1,491</w:t>
            </w:r>
          </w:p>
        </w:tc>
        <w:tc>
          <w:tcPr>
            <w:tcW w:w="1340" w:type="dxa"/>
            <w:vAlign w:val="center"/>
          </w:tcPr>
          <w:p w14:paraId="3CF8187E" w14:textId="77777777" w:rsidR="00A4634C" w:rsidRPr="00C413A5" w:rsidRDefault="00A4634C" w:rsidP="00A4634C">
            <w:pPr>
              <w:pStyle w:val="TableParagraph"/>
              <w:jc w:val="center"/>
              <w:rPr>
                <w:rFonts w:ascii="Arial Narrow" w:hAnsi="Arial Narrow"/>
              </w:rPr>
            </w:pPr>
            <w:r w:rsidRPr="00C413A5">
              <w:rPr>
                <w:rFonts w:ascii="Arial Narrow" w:hAnsi="Arial Narrow"/>
              </w:rPr>
              <w:t>2,683</w:t>
            </w:r>
          </w:p>
        </w:tc>
        <w:tc>
          <w:tcPr>
            <w:tcW w:w="966" w:type="dxa"/>
            <w:vAlign w:val="center"/>
          </w:tcPr>
          <w:p w14:paraId="14D080E1" w14:textId="77777777" w:rsidR="00A4634C" w:rsidRPr="00C413A5" w:rsidRDefault="00A4634C" w:rsidP="00A4634C">
            <w:pPr>
              <w:pStyle w:val="TableParagraph"/>
              <w:jc w:val="center"/>
              <w:rPr>
                <w:rFonts w:ascii="Arial Narrow" w:hAnsi="Arial Narrow"/>
              </w:rPr>
            </w:pPr>
            <w:r w:rsidRPr="00C413A5">
              <w:rPr>
                <w:rFonts w:ascii="Arial Narrow" w:hAnsi="Arial Narrow"/>
              </w:rPr>
              <w:t>510</w:t>
            </w:r>
          </w:p>
        </w:tc>
        <w:tc>
          <w:tcPr>
            <w:tcW w:w="1153" w:type="dxa"/>
            <w:vAlign w:val="center"/>
          </w:tcPr>
          <w:p w14:paraId="1DECE8D2" w14:textId="77777777" w:rsidR="00A4634C" w:rsidRPr="00C413A5" w:rsidRDefault="00A4634C" w:rsidP="00A4634C">
            <w:pPr>
              <w:pStyle w:val="TableParagraph"/>
              <w:jc w:val="center"/>
              <w:rPr>
                <w:rFonts w:ascii="Arial Narrow" w:hAnsi="Arial Narrow"/>
              </w:rPr>
            </w:pPr>
            <w:r w:rsidRPr="00C413A5">
              <w:rPr>
                <w:rFonts w:ascii="Arial Narrow" w:hAnsi="Arial Narrow"/>
              </w:rPr>
              <w:t>72</w:t>
            </w:r>
          </w:p>
        </w:tc>
        <w:tc>
          <w:tcPr>
            <w:tcW w:w="964" w:type="dxa"/>
            <w:vAlign w:val="center"/>
          </w:tcPr>
          <w:p w14:paraId="24AC72CB" w14:textId="77777777" w:rsidR="00A4634C" w:rsidRPr="00C413A5" w:rsidRDefault="00A4634C" w:rsidP="00A4634C">
            <w:pPr>
              <w:pStyle w:val="TableParagraph"/>
              <w:jc w:val="center"/>
              <w:rPr>
                <w:rFonts w:ascii="Arial Narrow" w:hAnsi="Arial Narrow"/>
              </w:rPr>
            </w:pPr>
            <w:r w:rsidRPr="00BD3261">
              <w:t>4,951</w:t>
            </w:r>
          </w:p>
        </w:tc>
        <w:tc>
          <w:tcPr>
            <w:tcW w:w="918" w:type="dxa"/>
            <w:vAlign w:val="center"/>
          </w:tcPr>
          <w:p w14:paraId="06BC998F" w14:textId="77777777" w:rsidR="00A4634C" w:rsidRPr="00A4634C" w:rsidRDefault="00A4634C" w:rsidP="00A4634C">
            <w:pPr>
              <w:pStyle w:val="TableParagraph"/>
              <w:jc w:val="center"/>
              <w:rPr>
                <w:rFonts w:ascii="Arial Narrow" w:hAnsi="Arial Narrow"/>
                <w:i/>
              </w:rPr>
            </w:pPr>
            <w:r w:rsidRPr="00A4634C">
              <w:rPr>
                <w:i/>
              </w:rPr>
              <w:t>5,461</w:t>
            </w:r>
          </w:p>
        </w:tc>
      </w:tr>
      <w:tr w:rsidR="00A4634C" w14:paraId="6946EA1F" w14:textId="77777777" w:rsidTr="00A4634C">
        <w:trPr>
          <w:cnfStyle w:val="000000100000" w:firstRow="0" w:lastRow="0" w:firstColumn="0" w:lastColumn="0" w:oddVBand="0" w:evenVBand="0" w:oddHBand="1" w:evenHBand="0" w:firstRowFirstColumn="0" w:firstRowLastColumn="0" w:lastRowFirstColumn="0" w:lastRowLastColumn="0"/>
        </w:trPr>
        <w:tc>
          <w:tcPr>
            <w:tcW w:w="1115" w:type="dxa"/>
          </w:tcPr>
          <w:p w14:paraId="37A88BCB" w14:textId="77777777" w:rsidR="00A4634C" w:rsidRPr="00C413A5" w:rsidRDefault="00A4634C" w:rsidP="00A4634C">
            <w:pPr>
              <w:pStyle w:val="TableParagraph"/>
              <w:rPr>
                <w:rFonts w:ascii="Arial Narrow" w:hAnsi="Arial Narrow"/>
                <w:b/>
              </w:rPr>
            </w:pPr>
            <w:r w:rsidRPr="00C413A5">
              <w:rPr>
                <w:rFonts w:ascii="Arial Narrow" w:hAnsi="Arial Narrow"/>
                <w:b/>
              </w:rPr>
              <w:t xml:space="preserve">Variance </w:t>
            </w:r>
          </w:p>
        </w:tc>
        <w:tc>
          <w:tcPr>
            <w:tcW w:w="1246" w:type="dxa"/>
            <w:vAlign w:val="center"/>
          </w:tcPr>
          <w:p w14:paraId="5807BDEA" w14:textId="77777777" w:rsidR="00A4634C" w:rsidRPr="00C413A5" w:rsidRDefault="00A4634C" w:rsidP="00A4634C">
            <w:pPr>
              <w:pStyle w:val="TableParagraph"/>
              <w:jc w:val="center"/>
              <w:rPr>
                <w:rFonts w:ascii="Arial Narrow" w:hAnsi="Arial Narrow"/>
                <w:b/>
              </w:rPr>
            </w:pPr>
            <w:r w:rsidRPr="00C413A5">
              <w:rPr>
                <w:rFonts w:ascii="Arial Narrow" w:hAnsi="Arial Narrow"/>
                <w:b/>
              </w:rPr>
              <w:t>-557</w:t>
            </w:r>
          </w:p>
        </w:tc>
        <w:tc>
          <w:tcPr>
            <w:tcW w:w="1131" w:type="dxa"/>
            <w:vAlign w:val="center"/>
          </w:tcPr>
          <w:p w14:paraId="3C0DABAD" w14:textId="77777777" w:rsidR="00A4634C" w:rsidRPr="00C413A5" w:rsidRDefault="00A4634C" w:rsidP="00A4634C">
            <w:pPr>
              <w:pStyle w:val="TableParagraph"/>
              <w:jc w:val="center"/>
              <w:rPr>
                <w:rFonts w:ascii="Arial Narrow" w:hAnsi="Arial Narrow"/>
                <w:b/>
              </w:rPr>
            </w:pPr>
            <w:r w:rsidRPr="00C413A5">
              <w:rPr>
                <w:rFonts w:ascii="Arial Narrow" w:hAnsi="Arial Narrow"/>
                <w:b/>
              </w:rPr>
              <w:t>-740</w:t>
            </w:r>
          </w:p>
        </w:tc>
        <w:tc>
          <w:tcPr>
            <w:tcW w:w="936" w:type="dxa"/>
            <w:vAlign w:val="center"/>
          </w:tcPr>
          <w:p w14:paraId="737FD460" w14:textId="77777777" w:rsidR="00A4634C" w:rsidRPr="00C413A5" w:rsidRDefault="003B56B3" w:rsidP="00A4634C">
            <w:pPr>
              <w:pStyle w:val="TableParagraph"/>
              <w:jc w:val="center"/>
              <w:rPr>
                <w:rFonts w:ascii="Arial Narrow" w:hAnsi="Arial Narrow"/>
                <w:b/>
              </w:rPr>
            </w:pPr>
            <w:r w:rsidRPr="003B56B3">
              <w:rPr>
                <w:rFonts w:ascii="Arial Narrow" w:hAnsi="Arial Narrow"/>
                <w:b/>
              </w:rPr>
              <w:t>1</w:t>
            </w:r>
            <w:r>
              <w:rPr>
                <w:rFonts w:ascii="Arial Narrow" w:hAnsi="Arial Narrow"/>
                <w:b/>
              </w:rPr>
              <w:t>,</w:t>
            </w:r>
            <w:r w:rsidRPr="003B56B3">
              <w:rPr>
                <w:rFonts w:ascii="Arial Narrow" w:hAnsi="Arial Narrow"/>
                <w:b/>
              </w:rPr>
              <w:t>176</w:t>
            </w:r>
          </w:p>
        </w:tc>
        <w:tc>
          <w:tcPr>
            <w:tcW w:w="1340" w:type="dxa"/>
            <w:vAlign w:val="center"/>
          </w:tcPr>
          <w:p w14:paraId="0A03607D" w14:textId="77777777" w:rsidR="00A4634C" w:rsidRPr="00C413A5" w:rsidRDefault="00A4634C" w:rsidP="00A4634C">
            <w:pPr>
              <w:pStyle w:val="TableParagraph"/>
              <w:jc w:val="center"/>
              <w:rPr>
                <w:rFonts w:ascii="Arial Narrow" w:hAnsi="Arial Narrow"/>
                <w:b/>
              </w:rPr>
            </w:pPr>
            <w:r w:rsidRPr="00C413A5">
              <w:rPr>
                <w:rFonts w:ascii="Arial Narrow" w:hAnsi="Arial Narrow"/>
                <w:b/>
              </w:rPr>
              <w:t>1</w:t>
            </w:r>
            <w:r w:rsidR="003B56B3">
              <w:rPr>
                <w:rFonts w:ascii="Arial Narrow" w:hAnsi="Arial Narrow"/>
                <w:b/>
              </w:rPr>
              <w:t>,</w:t>
            </w:r>
            <w:r w:rsidRPr="00C413A5">
              <w:rPr>
                <w:rFonts w:ascii="Arial Narrow" w:hAnsi="Arial Narrow"/>
                <w:b/>
              </w:rPr>
              <w:t>684</w:t>
            </w:r>
          </w:p>
        </w:tc>
        <w:tc>
          <w:tcPr>
            <w:tcW w:w="966" w:type="dxa"/>
            <w:vAlign w:val="center"/>
          </w:tcPr>
          <w:p w14:paraId="3E994765" w14:textId="77777777" w:rsidR="00A4634C" w:rsidRPr="00C413A5" w:rsidRDefault="00A4634C" w:rsidP="00A4634C">
            <w:pPr>
              <w:pStyle w:val="TableParagraph"/>
              <w:jc w:val="center"/>
              <w:rPr>
                <w:rFonts w:ascii="Arial Narrow" w:hAnsi="Arial Narrow"/>
                <w:b/>
              </w:rPr>
            </w:pPr>
            <w:r w:rsidRPr="00C413A5">
              <w:rPr>
                <w:rFonts w:ascii="Arial Narrow" w:hAnsi="Arial Narrow"/>
                <w:b/>
              </w:rPr>
              <w:t>N/A</w:t>
            </w:r>
          </w:p>
        </w:tc>
        <w:tc>
          <w:tcPr>
            <w:tcW w:w="1153" w:type="dxa"/>
            <w:vAlign w:val="center"/>
          </w:tcPr>
          <w:p w14:paraId="1954B912" w14:textId="77777777" w:rsidR="00A4634C" w:rsidRPr="00C413A5" w:rsidRDefault="00A4634C" w:rsidP="00A4634C">
            <w:pPr>
              <w:pStyle w:val="TableParagraph"/>
              <w:jc w:val="center"/>
              <w:rPr>
                <w:rFonts w:ascii="Arial Narrow" w:hAnsi="Arial Narrow"/>
                <w:b/>
              </w:rPr>
            </w:pPr>
            <w:r w:rsidRPr="00C413A5">
              <w:rPr>
                <w:rFonts w:ascii="Arial Narrow" w:hAnsi="Arial Narrow"/>
                <w:b/>
              </w:rPr>
              <w:t>-3</w:t>
            </w:r>
          </w:p>
        </w:tc>
        <w:tc>
          <w:tcPr>
            <w:tcW w:w="964" w:type="dxa"/>
            <w:vAlign w:val="center"/>
          </w:tcPr>
          <w:p w14:paraId="624CB709" w14:textId="77777777" w:rsidR="00A4634C" w:rsidRPr="00C413A5" w:rsidRDefault="00A4634C" w:rsidP="00A4634C">
            <w:pPr>
              <w:pStyle w:val="TableParagraph"/>
              <w:jc w:val="center"/>
              <w:rPr>
                <w:rFonts w:ascii="Arial Narrow" w:hAnsi="Arial Narrow"/>
                <w:b/>
              </w:rPr>
            </w:pPr>
            <w:r w:rsidRPr="00A4634C">
              <w:rPr>
                <w:rFonts w:ascii="Arial Narrow" w:hAnsi="Arial Narrow"/>
                <w:b/>
              </w:rPr>
              <w:t>1,560</w:t>
            </w:r>
          </w:p>
        </w:tc>
        <w:tc>
          <w:tcPr>
            <w:tcW w:w="918" w:type="dxa"/>
            <w:vAlign w:val="center"/>
          </w:tcPr>
          <w:p w14:paraId="3416C9C2" w14:textId="77777777" w:rsidR="00A4634C" w:rsidRPr="00A4634C" w:rsidRDefault="00A4634C" w:rsidP="00A4634C">
            <w:pPr>
              <w:pStyle w:val="TableParagraph"/>
              <w:jc w:val="center"/>
              <w:rPr>
                <w:rFonts w:ascii="Arial Narrow" w:hAnsi="Arial Narrow"/>
                <w:b/>
                <w:i/>
              </w:rPr>
            </w:pPr>
            <w:r w:rsidRPr="00A4634C">
              <w:rPr>
                <w:rFonts w:ascii="Arial Narrow" w:hAnsi="Arial Narrow"/>
                <w:b/>
                <w:i/>
              </w:rPr>
              <w:t>N/A</w:t>
            </w:r>
          </w:p>
        </w:tc>
      </w:tr>
    </w:tbl>
    <w:p w14:paraId="60908E83" w14:textId="77777777" w:rsidR="00953862" w:rsidRDefault="00953862" w:rsidP="00D22741">
      <w:pPr>
        <w:pStyle w:val="BodyText-italics"/>
        <w:tabs>
          <w:tab w:val="left" w:pos="3680"/>
        </w:tabs>
      </w:pPr>
    </w:p>
    <w:p w14:paraId="24B81CF8" w14:textId="77777777" w:rsidR="00242A80" w:rsidRDefault="00690D35" w:rsidP="00242A80">
      <w:pPr>
        <w:pStyle w:val="BodyText-italics"/>
        <w:tabs>
          <w:tab w:val="left" w:pos="3680"/>
        </w:tabs>
      </w:pPr>
      <w:r>
        <w:lastRenderedPageBreak/>
        <w:t>Table 6.2</w:t>
      </w:r>
      <w:r w:rsidR="00586F2B">
        <w:t xml:space="preserve"> shows that </w:t>
      </w:r>
      <w:r w:rsidR="00242A80">
        <w:t>overall 4,951 referrals in were made across five Social Prescribing projects (</w:t>
      </w:r>
      <w:r w:rsidR="00242A80" w:rsidRPr="00242A80">
        <w:t>Basildon and Brentwood; Castle Point and Rochford; Mid Essex; North Ea</w:t>
      </w:r>
      <w:r w:rsidR="00242A80">
        <w:t>st Essex My Social Prescription</w:t>
      </w:r>
      <w:r w:rsidR="00371DE4">
        <w:t>; and Southend</w:t>
      </w:r>
      <w:r w:rsidR="00242A80">
        <w:t>). This e</w:t>
      </w:r>
      <w:r w:rsidR="00E97AAC">
        <w:t xml:space="preserve">xceeds their combined target of </w:t>
      </w:r>
      <w:r w:rsidR="00242A80">
        <w:t>3,</w:t>
      </w:r>
      <w:r w:rsidR="00371DE4">
        <w:t>391</w:t>
      </w:r>
      <w:r w:rsidR="00242A80">
        <w:t xml:space="preserve">, however while some projects exceeded their referral target (Mid Essex and My Social Prescription) other projects did not meet their target (Basildon and Brentwood and Ways to Wellness). </w:t>
      </w:r>
    </w:p>
    <w:p w14:paraId="463C26B7" w14:textId="77777777" w:rsidR="00242A80" w:rsidRDefault="00242A80" w:rsidP="00D22741">
      <w:pPr>
        <w:pStyle w:val="BodyText-italics"/>
        <w:tabs>
          <w:tab w:val="left" w:pos="3680"/>
        </w:tabs>
      </w:pPr>
      <w:r>
        <w:t xml:space="preserve">No referral target was set for West Essex </w:t>
      </w:r>
      <w:r w:rsidR="00E270C4">
        <w:t xml:space="preserve">within the CCG contract </w:t>
      </w:r>
      <w:r>
        <w:t>however it received 510 referrals in total.</w:t>
      </w:r>
    </w:p>
    <w:p w14:paraId="0CA62568" w14:textId="77777777" w:rsidR="008A743D" w:rsidRDefault="00425C28" w:rsidP="00E331E8">
      <w:pPr>
        <w:pStyle w:val="BodyText-italics"/>
        <w:tabs>
          <w:tab w:val="left" w:pos="3680"/>
        </w:tabs>
      </w:pPr>
      <w:r>
        <w:t xml:space="preserve">Targets have been exceeded in the Mid Essex Connect Well </w:t>
      </w:r>
      <w:r w:rsidR="00E331E8">
        <w:t>project in part</w:t>
      </w:r>
      <w:r>
        <w:t xml:space="preserve"> due to the introduction of SystmOne to record referrals from GPs </w:t>
      </w:r>
      <w:r w:rsidR="00514840">
        <w:t xml:space="preserve">for the Level 2 conversations </w:t>
      </w:r>
      <w:r>
        <w:t>while My Social Prescription had a range of accessible referral routes into the project (</w:t>
      </w:r>
      <w:r w:rsidRPr="00425C28">
        <w:t>face to face, by phone, by email and online via the Essex Connects and Connect Well Essex databases</w:t>
      </w:r>
      <w:r>
        <w:t xml:space="preserve">). </w:t>
      </w:r>
      <w:r w:rsidRPr="00425C28">
        <w:t>Project staff highlighted that this allows people with different experiences and skills to use the information available in their own way. The project has also adapted the referral route to social workers via a specific referral form that allows project staff to understand some of the complexities of the cases they refer. This was also highlighted by a social care representative who noted that “</w:t>
      </w:r>
      <w:r w:rsidRPr="00425C28">
        <w:rPr>
          <w:i/>
        </w:rPr>
        <w:t>the project delivers the outcome needed and makes the relevant connection specific to the adult referred</w:t>
      </w:r>
      <w:r w:rsidRPr="00425C28">
        <w:t>”. It is anticipated that the project will continue to expand its referral routes and widen the stakeholders that can refer</w:t>
      </w:r>
      <w:r w:rsidR="008A743D">
        <w:t xml:space="preserve"> to include e.g. Council staff.</w:t>
      </w:r>
    </w:p>
    <w:p w14:paraId="5CF5C1F9" w14:textId="77777777" w:rsidR="008A743D" w:rsidRDefault="008A743D" w:rsidP="00AE785D">
      <w:pPr>
        <w:pStyle w:val="BodyText-parastyle"/>
      </w:pPr>
      <w:r>
        <w:t>Table 6.3 details the number of people that were supported by the Social Prescribing projects. The type of support provided varied according to the model (see section 4.2), specifically:</w:t>
      </w:r>
    </w:p>
    <w:p w14:paraId="5B1F5A54" w14:textId="77777777" w:rsidR="008A743D" w:rsidRDefault="008A743D" w:rsidP="00D53262">
      <w:pPr>
        <w:pStyle w:val="ListParagraph"/>
      </w:pPr>
      <w:r>
        <w:t xml:space="preserve">Basildon and Brentwood / Castle Point and Rochford – the number supported reflects those supported to develop a person action plan and progress reviewed by a Navigator </w:t>
      </w:r>
    </w:p>
    <w:p w14:paraId="5CD91F6E" w14:textId="37AB4158" w:rsidR="008A743D" w:rsidRDefault="008A743D" w:rsidP="00D53262">
      <w:pPr>
        <w:pStyle w:val="ListParagraph"/>
      </w:pPr>
      <w:r>
        <w:t xml:space="preserve">Mid Essex / My Social Prescription and West Essex – the numbers reflect both signposting, referrals and more intensive support. For </w:t>
      </w:r>
      <w:r w:rsidR="00C70808">
        <w:t>example,</w:t>
      </w:r>
      <w:r>
        <w:t xml:space="preserve"> the number of service </w:t>
      </w:r>
      <w:r w:rsidRPr="00822D41">
        <w:rPr>
          <w:rStyle w:val="ListParagraphChar"/>
        </w:rPr>
        <w:t>users reported for My Social Prescription includes ‘contacts’ (“quick win conversations” where the requirements are smaller and more focused and are often achieved there and then on the outreach – i.e. a direct referral on to a volunteer opportunity or a community group where a social prescriber is no longer needed to guide them) as well as “detailed conversations</w:t>
      </w:r>
      <w:r>
        <w:t>” (</w:t>
      </w:r>
      <w:r w:rsidRPr="00822D41">
        <w:t xml:space="preserve">more intensive support </w:t>
      </w:r>
      <w:r>
        <w:t xml:space="preserve">that involves </w:t>
      </w:r>
      <w:r w:rsidRPr="00822D41">
        <w:t>developing a set of options with service users</w:t>
      </w:r>
      <w:r>
        <w:t>)</w:t>
      </w:r>
    </w:p>
    <w:p w14:paraId="1097B3C7" w14:textId="77777777" w:rsidR="00756EB7" w:rsidRDefault="008A743D" w:rsidP="00D22741">
      <w:pPr>
        <w:pStyle w:val="BodyText-italics"/>
        <w:tabs>
          <w:tab w:val="left" w:pos="3680"/>
        </w:tabs>
        <w:rPr>
          <w:lang w:val="en-US"/>
        </w:rPr>
      </w:pPr>
      <w:r>
        <w:t>Therefore</w:t>
      </w:r>
      <w:r w:rsidR="006F7557">
        <w:t xml:space="preserve"> table </w:t>
      </w:r>
      <w:r>
        <w:t xml:space="preserve">6.3 also </w:t>
      </w:r>
      <w:r w:rsidR="006F7557">
        <w:t xml:space="preserve">outlines those that were </w:t>
      </w:r>
      <w:r w:rsidR="00756EB7" w:rsidRPr="00756EB7">
        <w:rPr>
          <w:lang w:val="en-US"/>
        </w:rPr>
        <w:t xml:space="preserve">‘substantive engagements’ </w:t>
      </w:r>
      <w:r w:rsidR="00756EB7">
        <w:rPr>
          <w:lang w:val="en-US"/>
        </w:rPr>
        <w:t>(i.e. received more intensive support); there were no separate targets set for these engagements.</w:t>
      </w:r>
    </w:p>
    <w:p w14:paraId="26D89397" w14:textId="77777777" w:rsidR="00953862" w:rsidRDefault="00953862" w:rsidP="00D22741">
      <w:pPr>
        <w:pStyle w:val="BodyText-italics"/>
        <w:tabs>
          <w:tab w:val="left" w:pos="3680"/>
        </w:tabs>
        <w:rPr>
          <w:lang w:val="en-US"/>
        </w:rPr>
      </w:pPr>
    </w:p>
    <w:p w14:paraId="5DA2C778" w14:textId="77777777" w:rsidR="00953862" w:rsidRDefault="00953862" w:rsidP="00D22741">
      <w:pPr>
        <w:pStyle w:val="BodyText-italics"/>
        <w:tabs>
          <w:tab w:val="left" w:pos="3680"/>
        </w:tabs>
        <w:rPr>
          <w:lang w:val="en-US"/>
        </w:rPr>
      </w:pPr>
    </w:p>
    <w:p w14:paraId="48CB289A" w14:textId="77777777" w:rsidR="00953862" w:rsidRDefault="00953862" w:rsidP="00D22741">
      <w:pPr>
        <w:pStyle w:val="BodyText-italics"/>
        <w:tabs>
          <w:tab w:val="left" w:pos="3680"/>
        </w:tabs>
        <w:rPr>
          <w:lang w:val="en-US"/>
        </w:rPr>
      </w:pPr>
    </w:p>
    <w:p w14:paraId="34E165E7" w14:textId="77777777" w:rsidR="00756EB7" w:rsidRDefault="00756EB7"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3</w:t>
      </w:r>
      <w:r w:rsidR="00603E87">
        <w:fldChar w:fldCharType="end"/>
      </w:r>
      <w:r>
        <w:t xml:space="preserve">: Social Prescribing </w:t>
      </w:r>
      <w:r w:rsidRPr="00756EB7">
        <w:t xml:space="preserve">‘substantive engagements’ </w:t>
      </w:r>
      <w:r>
        <w:t>Outputs by Locality (at 31 March 2017)</w:t>
      </w:r>
    </w:p>
    <w:tbl>
      <w:tblPr>
        <w:tblStyle w:val="TableGrid"/>
        <w:tblW w:w="0" w:type="auto"/>
        <w:tblLook w:val="04A0" w:firstRow="1" w:lastRow="0" w:firstColumn="1" w:lastColumn="0" w:noHBand="0" w:noVBand="1"/>
      </w:tblPr>
      <w:tblGrid>
        <w:gridCol w:w="1497"/>
        <w:gridCol w:w="1317"/>
        <w:gridCol w:w="1212"/>
        <w:gridCol w:w="1142"/>
        <w:gridCol w:w="1450"/>
        <w:gridCol w:w="1183"/>
        <w:gridCol w:w="1217"/>
        <w:gridCol w:w="922"/>
      </w:tblGrid>
      <w:tr w:rsidR="00953862" w14:paraId="5A203B2E" w14:textId="77777777" w:rsidTr="00953862">
        <w:trPr>
          <w:cnfStyle w:val="100000000000" w:firstRow="1" w:lastRow="0" w:firstColumn="0" w:lastColumn="0" w:oddVBand="0" w:evenVBand="0" w:oddHBand="0" w:evenHBand="0" w:firstRowFirstColumn="0" w:firstRowLastColumn="0" w:lastRowFirstColumn="0" w:lastRowLastColumn="0"/>
        </w:trPr>
        <w:tc>
          <w:tcPr>
            <w:tcW w:w="1497" w:type="dxa"/>
          </w:tcPr>
          <w:p w14:paraId="460F0D1C" w14:textId="77777777" w:rsidR="00953862" w:rsidRDefault="00953862" w:rsidP="00953862">
            <w:pPr>
              <w:pStyle w:val="TableHeading"/>
            </w:pPr>
          </w:p>
        </w:tc>
        <w:tc>
          <w:tcPr>
            <w:tcW w:w="1290" w:type="dxa"/>
          </w:tcPr>
          <w:p w14:paraId="4A76BBDF" w14:textId="77777777" w:rsidR="00953862" w:rsidRDefault="00953862" w:rsidP="00953862">
            <w:pPr>
              <w:pStyle w:val="TableHeading"/>
            </w:pPr>
            <w:r>
              <w:t>Basildon and Brentwood</w:t>
            </w:r>
            <w:r>
              <w:rPr>
                <w:rStyle w:val="FootnoteReference"/>
              </w:rPr>
              <w:footnoteReference w:id="73"/>
            </w:r>
            <w:r>
              <w:t xml:space="preserve"> </w:t>
            </w:r>
          </w:p>
        </w:tc>
        <w:tc>
          <w:tcPr>
            <w:tcW w:w="1212" w:type="dxa"/>
          </w:tcPr>
          <w:p w14:paraId="4812258A" w14:textId="77777777" w:rsidR="00953862" w:rsidRDefault="00953862" w:rsidP="00953862">
            <w:pPr>
              <w:pStyle w:val="TableHeading"/>
            </w:pPr>
            <w:r>
              <w:t>Castle Point and Rochford</w:t>
            </w:r>
            <w:r>
              <w:rPr>
                <w:rStyle w:val="FootnoteReference"/>
              </w:rPr>
              <w:footnoteReference w:id="74"/>
            </w:r>
          </w:p>
        </w:tc>
        <w:tc>
          <w:tcPr>
            <w:tcW w:w="1142" w:type="dxa"/>
          </w:tcPr>
          <w:p w14:paraId="7B36FC91" w14:textId="77777777" w:rsidR="00953862" w:rsidRDefault="00953862" w:rsidP="00953862">
            <w:pPr>
              <w:pStyle w:val="TableHeading"/>
            </w:pPr>
            <w:r>
              <w:t>Mid Essex</w:t>
            </w:r>
            <w:r>
              <w:rPr>
                <w:rStyle w:val="FootnoteReference"/>
              </w:rPr>
              <w:footnoteReference w:id="75"/>
            </w:r>
          </w:p>
        </w:tc>
        <w:tc>
          <w:tcPr>
            <w:tcW w:w="1450" w:type="dxa"/>
          </w:tcPr>
          <w:p w14:paraId="078433ED" w14:textId="77777777" w:rsidR="00953862" w:rsidRDefault="00953862" w:rsidP="00953862">
            <w:pPr>
              <w:pStyle w:val="TableHeading"/>
            </w:pPr>
            <w:r>
              <w:t>NE Essex – My Social Prescription</w:t>
            </w:r>
            <w:r>
              <w:rPr>
                <w:rStyle w:val="FootnoteReference"/>
              </w:rPr>
              <w:footnoteReference w:id="76"/>
            </w:r>
            <w:r>
              <w:t xml:space="preserve"> </w:t>
            </w:r>
          </w:p>
        </w:tc>
        <w:tc>
          <w:tcPr>
            <w:tcW w:w="1183" w:type="dxa"/>
          </w:tcPr>
          <w:p w14:paraId="75C8B847" w14:textId="77777777" w:rsidR="00953862" w:rsidRDefault="00953862" w:rsidP="00953862">
            <w:pPr>
              <w:pStyle w:val="TableHeading"/>
            </w:pPr>
            <w:r>
              <w:t>West Essex</w:t>
            </w:r>
            <w:r>
              <w:rPr>
                <w:rStyle w:val="FootnoteReference"/>
              </w:rPr>
              <w:footnoteReference w:id="77"/>
            </w:r>
          </w:p>
        </w:tc>
        <w:tc>
          <w:tcPr>
            <w:tcW w:w="1073" w:type="dxa"/>
          </w:tcPr>
          <w:p w14:paraId="305269F0" w14:textId="77777777" w:rsidR="00953862" w:rsidRDefault="00953862" w:rsidP="00953862">
            <w:pPr>
              <w:pStyle w:val="TableHeading"/>
            </w:pPr>
            <w:r>
              <w:t>Southend</w:t>
            </w:r>
            <w:r>
              <w:rPr>
                <w:rStyle w:val="FootnoteReference"/>
              </w:rPr>
              <w:footnoteReference w:id="78"/>
            </w:r>
          </w:p>
        </w:tc>
        <w:tc>
          <w:tcPr>
            <w:tcW w:w="922" w:type="dxa"/>
          </w:tcPr>
          <w:p w14:paraId="64B6F6A0" w14:textId="77777777" w:rsidR="00953862" w:rsidRDefault="00953862" w:rsidP="00953862">
            <w:pPr>
              <w:pStyle w:val="TableHeading"/>
            </w:pPr>
            <w:r>
              <w:t xml:space="preserve">Total </w:t>
            </w:r>
          </w:p>
        </w:tc>
      </w:tr>
      <w:tr w:rsidR="008B14B1" w14:paraId="6E5FE3A9" w14:textId="77777777" w:rsidTr="00953862">
        <w:trPr>
          <w:cnfStyle w:val="000000100000" w:firstRow="0" w:lastRow="0" w:firstColumn="0" w:lastColumn="0" w:oddVBand="0" w:evenVBand="0" w:oddHBand="1" w:evenHBand="0" w:firstRowFirstColumn="0" w:firstRowLastColumn="0" w:lastRowFirstColumn="0" w:lastRowLastColumn="0"/>
        </w:trPr>
        <w:tc>
          <w:tcPr>
            <w:tcW w:w="1497" w:type="dxa"/>
          </w:tcPr>
          <w:p w14:paraId="218B327F" w14:textId="77777777" w:rsidR="008B14B1" w:rsidRDefault="008B14B1" w:rsidP="008B14B1">
            <w:pPr>
              <w:pStyle w:val="TableParagraph"/>
            </w:pPr>
            <w:r>
              <w:t>Number of people supported</w:t>
            </w:r>
            <w:r>
              <w:rPr>
                <w:rStyle w:val="FootnoteReference"/>
              </w:rPr>
              <w:footnoteReference w:id="79"/>
            </w:r>
          </w:p>
        </w:tc>
        <w:tc>
          <w:tcPr>
            <w:tcW w:w="1290" w:type="dxa"/>
            <w:vAlign w:val="center"/>
          </w:tcPr>
          <w:p w14:paraId="741D035B" w14:textId="77777777" w:rsidR="008B14B1" w:rsidRPr="00404D4B" w:rsidRDefault="008B14B1" w:rsidP="00756EB7">
            <w:pPr>
              <w:pStyle w:val="TableParagraph"/>
              <w:jc w:val="center"/>
            </w:pPr>
            <w:r>
              <w:t>301</w:t>
            </w:r>
          </w:p>
        </w:tc>
        <w:tc>
          <w:tcPr>
            <w:tcW w:w="1212" w:type="dxa"/>
            <w:vAlign w:val="center"/>
          </w:tcPr>
          <w:p w14:paraId="1816B65E" w14:textId="77777777" w:rsidR="008B14B1" w:rsidRPr="00404D4B" w:rsidRDefault="008B14B1" w:rsidP="00756EB7">
            <w:pPr>
              <w:pStyle w:val="TableParagraph"/>
              <w:jc w:val="center"/>
            </w:pPr>
            <w:r>
              <w:t>371</w:t>
            </w:r>
          </w:p>
        </w:tc>
        <w:tc>
          <w:tcPr>
            <w:tcW w:w="1142" w:type="dxa"/>
            <w:vAlign w:val="center"/>
          </w:tcPr>
          <w:p w14:paraId="3A5EF4D0" w14:textId="77777777" w:rsidR="008B14B1" w:rsidRPr="00756EB7" w:rsidRDefault="008B14B1" w:rsidP="00756EB7">
            <w:pPr>
              <w:pStyle w:val="TableParagraph"/>
              <w:jc w:val="center"/>
            </w:pPr>
            <w:r>
              <w:t>1,430</w:t>
            </w:r>
            <w:r w:rsidR="0045104A">
              <w:rPr>
                <w:rStyle w:val="FootnoteReference"/>
              </w:rPr>
              <w:footnoteReference w:id="80"/>
            </w:r>
          </w:p>
        </w:tc>
        <w:tc>
          <w:tcPr>
            <w:tcW w:w="1450" w:type="dxa"/>
            <w:vAlign w:val="center"/>
          </w:tcPr>
          <w:p w14:paraId="67E2A009" w14:textId="77777777" w:rsidR="008B14B1" w:rsidRPr="00756EB7" w:rsidRDefault="008B14B1" w:rsidP="00756EB7">
            <w:pPr>
              <w:pStyle w:val="TableParagraph"/>
              <w:jc w:val="center"/>
            </w:pPr>
            <w:r>
              <w:t>2,640</w:t>
            </w:r>
          </w:p>
        </w:tc>
        <w:tc>
          <w:tcPr>
            <w:tcW w:w="1183" w:type="dxa"/>
            <w:vAlign w:val="center"/>
          </w:tcPr>
          <w:p w14:paraId="7C225641" w14:textId="77777777" w:rsidR="008B14B1" w:rsidRDefault="008B14B1" w:rsidP="00756EB7">
            <w:pPr>
              <w:pStyle w:val="TableParagraph"/>
              <w:jc w:val="center"/>
            </w:pPr>
            <w:r>
              <w:t>444</w:t>
            </w:r>
          </w:p>
        </w:tc>
        <w:tc>
          <w:tcPr>
            <w:tcW w:w="1073" w:type="dxa"/>
            <w:vAlign w:val="center"/>
          </w:tcPr>
          <w:p w14:paraId="4C53E569" w14:textId="77777777" w:rsidR="008B14B1" w:rsidRDefault="008B14B1" w:rsidP="00756EB7">
            <w:pPr>
              <w:pStyle w:val="TableParagraph"/>
              <w:jc w:val="center"/>
            </w:pPr>
            <w:r>
              <w:t>65</w:t>
            </w:r>
          </w:p>
        </w:tc>
        <w:tc>
          <w:tcPr>
            <w:tcW w:w="922" w:type="dxa"/>
            <w:vAlign w:val="center"/>
          </w:tcPr>
          <w:p w14:paraId="4994D944" w14:textId="77777777" w:rsidR="008B14B1" w:rsidRPr="00425C28" w:rsidRDefault="008B14B1" w:rsidP="00756EB7">
            <w:pPr>
              <w:pStyle w:val="TableParagraph"/>
              <w:jc w:val="center"/>
            </w:pPr>
            <w:r>
              <w:t>5,251</w:t>
            </w:r>
          </w:p>
        </w:tc>
      </w:tr>
      <w:tr w:rsidR="00756EB7" w14:paraId="78A5A1C0" w14:textId="77777777" w:rsidTr="00953862">
        <w:trPr>
          <w:cnfStyle w:val="000000010000" w:firstRow="0" w:lastRow="0" w:firstColumn="0" w:lastColumn="0" w:oddVBand="0" w:evenVBand="0" w:oddHBand="0" w:evenHBand="1" w:firstRowFirstColumn="0" w:firstRowLastColumn="0" w:lastRowFirstColumn="0" w:lastRowLastColumn="0"/>
        </w:trPr>
        <w:tc>
          <w:tcPr>
            <w:tcW w:w="1497" w:type="dxa"/>
          </w:tcPr>
          <w:p w14:paraId="6FADC20D" w14:textId="77777777" w:rsidR="00756EB7" w:rsidRDefault="008B14B1" w:rsidP="008B14B1">
            <w:pPr>
              <w:pStyle w:val="TableParagraph"/>
            </w:pPr>
            <w:r>
              <w:t>N</w:t>
            </w:r>
            <w:r w:rsidR="00756EB7">
              <w:t xml:space="preserve">umber of </w:t>
            </w:r>
            <w:r w:rsidR="00756EB7" w:rsidRPr="00756EB7">
              <w:t>‘substantive engagements’</w:t>
            </w:r>
          </w:p>
        </w:tc>
        <w:tc>
          <w:tcPr>
            <w:tcW w:w="1290" w:type="dxa"/>
            <w:vAlign w:val="center"/>
          </w:tcPr>
          <w:p w14:paraId="77FA7012" w14:textId="77777777" w:rsidR="00756EB7" w:rsidRDefault="00756EB7" w:rsidP="00756EB7">
            <w:pPr>
              <w:pStyle w:val="TableParagraph"/>
              <w:jc w:val="center"/>
            </w:pPr>
            <w:r w:rsidRPr="00404D4B">
              <w:t>301</w:t>
            </w:r>
          </w:p>
        </w:tc>
        <w:tc>
          <w:tcPr>
            <w:tcW w:w="1212" w:type="dxa"/>
            <w:vAlign w:val="center"/>
          </w:tcPr>
          <w:p w14:paraId="5DAA4C69" w14:textId="77777777" w:rsidR="00756EB7" w:rsidRDefault="00756EB7" w:rsidP="00756EB7">
            <w:pPr>
              <w:pStyle w:val="TableParagraph"/>
              <w:jc w:val="center"/>
            </w:pPr>
            <w:r w:rsidRPr="00404D4B">
              <w:t>371</w:t>
            </w:r>
          </w:p>
        </w:tc>
        <w:tc>
          <w:tcPr>
            <w:tcW w:w="1142" w:type="dxa"/>
            <w:vAlign w:val="center"/>
          </w:tcPr>
          <w:p w14:paraId="69424B4F" w14:textId="77777777" w:rsidR="00756EB7" w:rsidRDefault="00756EB7" w:rsidP="00756EB7">
            <w:pPr>
              <w:pStyle w:val="TableParagraph"/>
              <w:jc w:val="center"/>
            </w:pPr>
            <w:r w:rsidRPr="00756EB7">
              <w:t>1,244 (level 2)</w:t>
            </w:r>
          </w:p>
        </w:tc>
        <w:tc>
          <w:tcPr>
            <w:tcW w:w="1450" w:type="dxa"/>
            <w:vAlign w:val="center"/>
          </w:tcPr>
          <w:p w14:paraId="2F4FF682" w14:textId="77777777" w:rsidR="00756EB7" w:rsidRDefault="00756EB7" w:rsidP="00756EB7">
            <w:pPr>
              <w:pStyle w:val="TableParagraph"/>
              <w:jc w:val="center"/>
            </w:pPr>
            <w:r w:rsidRPr="00756EB7">
              <w:t>563 (detailed conversations</w:t>
            </w:r>
          </w:p>
        </w:tc>
        <w:tc>
          <w:tcPr>
            <w:tcW w:w="1183" w:type="dxa"/>
            <w:vAlign w:val="center"/>
          </w:tcPr>
          <w:p w14:paraId="29B0A6C7" w14:textId="77777777" w:rsidR="00756EB7" w:rsidRDefault="00756EB7" w:rsidP="00756EB7">
            <w:pPr>
              <w:pStyle w:val="TableParagraph"/>
              <w:jc w:val="center"/>
            </w:pPr>
            <w:r>
              <w:t>8 (supporte</w:t>
            </w:r>
            <w:r w:rsidR="00425C28">
              <w:t>d by a PIP)</w:t>
            </w:r>
          </w:p>
        </w:tc>
        <w:tc>
          <w:tcPr>
            <w:tcW w:w="1073" w:type="dxa"/>
            <w:vAlign w:val="center"/>
          </w:tcPr>
          <w:p w14:paraId="78FAFA0E" w14:textId="77777777" w:rsidR="00756EB7" w:rsidRPr="00BD5BBD" w:rsidRDefault="00756EB7" w:rsidP="00756EB7">
            <w:pPr>
              <w:pStyle w:val="TableParagraph"/>
              <w:jc w:val="center"/>
            </w:pPr>
            <w:r>
              <w:t>65</w:t>
            </w:r>
          </w:p>
        </w:tc>
        <w:tc>
          <w:tcPr>
            <w:tcW w:w="922" w:type="dxa"/>
            <w:vAlign w:val="center"/>
          </w:tcPr>
          <w:p w14:paraId="4F57DC27" w14:textId="77777777" w:rsidR="00756EB7" w:rsidRPr="00516C3A" w:rsidRDefault="00425C28" w:rsidP="00756EB7">
            <w:pPr>
              <w:pStyle w:val="TableParagraph"/>
              <w:jc w:val="center"/>
            </w:pPr>
            <w:r w:rsidRPr="00425C28">
              <w:t>2,552</w:t>
            </w:r>
          </w:p>
        </w:tc>
      </w:tr>
    </w:tbl>
    <w:p w14:paraId="053B3DF0" w14:textId="77777777" w:rsidR="00756EB7" w:rsidRDefault="00756EB7" w:rsidP="00D22741">
      <w:pPr>
        <w:pStyle w:val="BodyText-italics"/>
        <w:tabs>
          <w:tab w:val="left" w:pos="3680"/>
        </w:tabs>
      </w:pPr>
    </w:p>
    <w:p w14:paraId="4CC3C4FA" w14:textId="615E18F4" w:rsidR="008B14B1" w:rsidRDefault="006F7557" w:rsidP="00D22741">
      <w:pPr>
        <w:pStyle w:val="BodyText-italics"/>
        <w:tabs>
          <w:tab w:val="left" w:pos="3680"/>
        </w:tabs>
      </w:pPr>
      <w:r>
        <w:t xml:space="preserve">The table above shows that of the </w:t>
      </w:r>
      <w:r w:rsidRPr="006F7557">
        <w:t>5,</w:t>
      </w:r>
      <w:r w:rsidR="007076C3">
        <w:t xml:space="preserve">251 </w:t>
      </w:r>
      <w:r w:rsidR="008B14B1">
        <w:t>people supported</w:t>
      </w:r>
      <w:r>
        <w:t xml:space="preserve"> </w:t>
      </w:r>
      <w:r w:rsidRPr="006F7557">
        <w:t>2,552</w:t>
      </w:r>
      <w:r w:rsidR="008B14B1">
        <w:t xml:space="preserve"> (49</w:t>
      </w:r>
      <w:r>
        <w:t>%) of the</w:t>
      </w:r>
      <w:r w:rsidR="00E97AAC">
        <w:t xml:space="preserve">se were substantive engagements and table 6.4 shows that of these </w:t>
      </w:r>
      <w:r w:rsidR="00333628" w:rsidRPr="00333628">
        <w:t>2</w:t>
      </w:r>
      <w:r w:rsidR="00333628">
        <w:t>,</w:t>
      </w:r>
      <w:r w:rsidR="00333628" w:rsidRPr="00333628">
        <w:t>811</w:t>
      </w:r>
      <w:r w:rsidR="00333628">
        <w:t xml:space="preserve"> </w:t>
      </w:r>
      <w:r w:rsidR="00E97AAC">
        <w:t>onward referrals were made.</w:t>
      </w:r>
    </w:p>
    <w:p w14:paraId="0D688BC8" w14:textId="77777777" w:rsidR="008B14B1" w:rsidRDefault="008B14B1"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4</w:t>
      </w:r>
      <w:r w:rsidR="00603E87">
        <w:fldChar w:fldCharType="end"/>
      </w:r>
      <w:r>
        <w:t>: Social Prescribing Number of Onward Referrals by Locality (at 31 March 2017)</w:t>
      </w:r>
    </w:p>
    <w:tbl>
      <w:tblPr>
        <w:tblStyle w:val="TableGrid"/>
        <w:tblW w:w="0" w:type="auto"/>
        <w:tblLook w:val="04A0" w:firstRow="1" w:lastRow="0" w:firstColumn="1" w:lastColumn="0" w:noHBand="0" w:noVBand="1"/>
      </w:tblPr>
      <w:tblGrid>
        <w:gridCol w:w="1426"/>
        <w:gridCol w:w="1317"/>
        <w:gridCol w:w="1207"/>
        <w:gridCol w:w="1112"/>
        <w:gridCol w:w="1446"/>
        <w:gridCol w:w="1148"/>
        <w:gridCol w:w="1217"/>
        <w:gridCol w:w="896"/>
      </w:tblGrid>
      <w:tr w:rsidR="008B14B1" w14:paraId="6A7F5482" w14:textId="77777777" w:rsidTr="008B14B1">
        <w:trPr>
          <w:cnfStyle w:val="100000000000" w:firstRow="1" w:lastRow="0" w:firstColumn="0" w:lastColumn="0" w:oddVBand="0" w:evenVBand="0" w:oddHBand="0" w:evenHBand="0" w:firstRowFirstColumn="0" w:firstRowLastColumn="0" w:lastRowFirstColumn="0" w:lastRowLastColumn="0"/>
        </w:trPr>
        <w:tc>
          <w:tcPr>
            <w:tcW w:w="1426" w:type="dxa"/>
          </w:tcPr>
          <w:p w14:paraId="7EC72CC7" w14:textId="77777777" w:rsidR="008B14B1" w:rsidRDefault="008B14B1" w:rsidP="008B14B1">
            <w:pPr>
              <w:pStyle w:val="TableHeading"/>
            </w:pPr>
          </w:p>
        </w:tc>
        <w:tc>
          <w:tcPr>
            <w:tcW w:w="1317" w:type="dxa"/>
          </w:tcPr>
          <w:p w14:paraId="3A0DC62E" w14:textId="77777777" w:rsidR="008B14B1" w:rsidRDefault="008B14B1" w:rsidP="008B14B1">
            <w:pPr>
              <w:pStyle w:val="TableHeading"/>
            </w:pPr>
            <w:r>
              <w:t>Basildon and Brentwood</w:t>
            </w:r>
            <w:r>
              <w:rPr>
                <w:rStyle w:val="FootnoteReference"/>
              </w:rPr>
              <w:footnoteReference w:id="81"/>
            </w:r>
            <w:r>
              <w:t xml:space="preserve"> </w:t>
            </w:r>
          </w:p>
        </w:tc>
        <w:tc>
          <w:tcPr>
            <w:tcW w:w="1207" w:type="dxa"/>
          </w:tcPr>
          <w:p w14:paraId="3D789E2A" w14:textId="77777777" w:rsidR="008B14B1" w:rsidRDefault="008B14B1" w:rsidP="008B14B1">
            <w:pPr>
              <w:pStyle w:val="TableHeading"/>
            </w:pPr>
            <w:r>
              <w:t>Castle Point and Rochford</w:t>
            </w:r>
            <w:r>
              <w:rPr>
                <w:rStyle w:val="FootnoteReference"/>
              </w:rPr>
              <w:footnoteReference w:id="82"/>
            </w:r>
          </w:p>
        </w:tc>
        <w:tc>
          <w:tcPr>
            <w:tcW w:w="1112" w:type="dxa"/>
          </w:tcPr>
          <w:p w14:paraId="575887B9" w14:textId="77777777" w:rsidR="008B14B1" w:rsidRDefault="008B14B1" w:rsidP="008B14B1">
            <w:pPr>
              <w:pStyle w:val="TableHeading"/>
            </w:pPr>
            <w:r>
              <w:t>Mid Essex</w:t>
            </w:r>
            <w:r>
              <w:rPr>
                <w:rStyle w:val="FootnoteReference"/>
              </w:rPr>
              <w:footnoteReference w:id="83"/>
            </w:r>
          </w:p>
        </w:tc>
        <w:tc>
          <w:tcPr>
            <w:tcW w:w="1446" w:type="dxa"/>
          </w:tcPr>
          <w:p w14:paraId="7A5BB592" w14:textId="77777777" w:rsidR="008B14B1" w:rsidRDefault="008B14B1" w:rsidP="008B14B1">
            <w:pPr>
              <w:pStyle w:val="TableHeading"/>
            </w:pPr>
            <w:r>
              <w:t>NE Essex – My Social Prescription</w:t>
            </w:r>
            <w:r>
              <w:rPr>
                <w:rStyle w:val="FootnoteReference"/>
              </w:rPr>
              <w:footnoteReference w:id="84"/>
            </w:r>
            <w:r>
              <w:t xml:space="preserve"> </w:t>
            </w:r>
          </w:p>
        </w:tc>
        <w:tc>
          <w:tcPr>
            <w:tcW w:w="1148" w:type="dxa"/>
          </w:tcPr>
          <w:p w14:paraId="2B519B6D" w14:textId="77777777" w:rsidR="008B14B1" w:rsidRDefault="008B14B1" w:rsidP="008B14B1">
            <w:pPr>
              <w:pStyle w:val="TableHeading"/>
            </w:pPr>
            <w:r>
              <w:t>West Essex</w:t>
            </w:r>
            <w:r>
              <w:rPr>
                <w:rStyle w:val="FootnoteReference"/>
              </w:rPr>
              <w:footnoteReference w:id="85"/>
            </w:r>
          </w:p>
        </w:tc>
        <w:tc>
          <w:tcPr>
            <w:tcW w:w="1217" w:type="dxa"/>
          </w:tcPr>
          <w:p w14:paraId="74C461F6" w14:textId="77777777" w:rsidR="008B14B1" w:rsidRDefault="008B14B1" w:rsidP="008B14B1">
            <w:pPr>
              <w:pStyle w:val="TableHeading"/>
            </w:pPr>
            <w:r>
              <w:t>Southend</w:t>
            </w:r>
          </w:p>
        </w:tc>
        <w:tc>
          <w:tcPr>
            <w:tcW w:w="896" w:type="dxa"/>
          </w:tcPr>
          <w:p w14:paraId="2CEF1181" w14:textId="77777777" w:rsidR="008B14B1" w:rsidRDefault="008B14B1" w:rsidP="008B14B1">
            <w:pPr>
              <w:pStyle w:val="TableHeading"/>
            </w:pPr>
            <w:r>
              <w:t xml:space="preserve">Total </w:t>
            </w:r>
          </w:p>
        </w:tc>
      </w:tr>
      <w:tr w:rsidR="008B14B1" w14:paraId="26104E01" w14:textId="77777777" w:rsidTr="008B14B1">
        <w:trPr>
          <w:cnfStyle w:val="000000100000" w:firstRow="0" w:lastRow="0" w:firstColumn="0" w:lastColumn="0" w:oddVBand="0" w:evenVBand="0" w:oddHBand="1" w:evenHBand="0" w:firstRowFirstColumn="0" w:firstRowLastColumn="0" w:lastRowFirstColumn="0" w:lastRowLastColumn="0"/>
        </w:trPr>
        <w:tc>
          <w:tcPr>
            <w:tcW w:w="1426" w:type="dxa"/>
          </w:tcPr>
          <w:p w14:paraId="31D9E67B" w14:textId="77777777" w:rsidR="008B14B1" w:rsidRDefault="008B14B1" w:rsidP="008B14B1">
            <w:pPr>
              <w:pStyle w:val="TableParagraph"/>
            </w:pPr>
            <w:r>
              <w:lastRenderedPageBreak/>
              <w:t>Number of onward referrals</w:t>
            </w:r>
          </w:p>
        </w:tc>
        <w:tc>
          <w:tcPr>
            <w:tcW w:w="1317" w:type="dxa"/>
            <w:vAlign w:val="center"/>
          </w:tcPr>
          <w:p w14:paraId="0F6BBBB4" w14:textId="77777777" w:rsidR="008B14B1" w:rsidRPr="00404D4B" w:rsidRDefault="008B14B1" w:rsidP="008B14B1">
            <w:pPr>
              <w:pStyle w:val="TableParagraph"/>
              <w:jc w:val="center"/>
            </w:pPr>
            <w:r>
              <w:t>581</w:t>
            </w:r>
          </w:p>
        </w:tc>
        <w:tc>
          <w:tcPr>
            <w:tcW w:w="1207" w:type="dxa"/>
            <w:vAlign w:val="center"/>
          </w:tcPr>
          <w:p w14:paraId="330C92A7" w14:textId="77777777" w:rsidR="008B14B1" w:rsidRPr="00404D4B" w:rsidRDefault="008B14B1" w:rsidP="008B14B1">
            <w:pPr>
              <w:pStyle w:val="TableParagraph"/>
              <w:jc w:val="center"/>
            </w:pPr>
            <w:r>
              <w:t>713</w:t>
            </w:r>
          </w:p>
        </w:tc>
        <w:tc>
          <w:tcPr>
            <w:tcW w:w="1112" w:type="dxa"/>
            <w:vAlign w:val="center"/>
          </w:tcPr>
          <w:p w14:paraId="0462D53B" w14:textId="77777777" w:rsidR="008B14B1" w:rsidRPr="00756EB7" w:rsidRDefault="00E97AAC" w:rsidP="0045104A">
            <w:pPr>
              <w:pStyle w:val="TableParagraph"/>
              <w:jc w:val="center"/>
            </w:pPr>
            <w:r>
              <w:t>202</w:t>
            </w:r>
            <w:r>
              <w:rPr>
                <w:rStyle w:val="FootnoteReference"/>
              </w:rPr>
              <w:footnoteReference w:id="86"/>
            </w:r>
          </w:p>
        </w:tc>
        <w:tc>
          <w:tcPr>
            <w:tcW w:w="1446" w:type="dxa"/>
            <w:vAlign w:val="center"/>
          </w:tcPr>
          <w:p w14:paraId="5E9AF3A0" w14:textId="77777777" w:rsidR="008B14B1" w:rsidRPr="00756EB7" w:rsidRDefault="008B14B1" w:rsidP="008B14B1">
            <w:pPr>
              <w:pStyle w:val="TableParagraph"/>
              <w:jc w:val="center"/>
            </w:pPr>
            <w:r>
              <w:t>716</w:t>
            </w:r>
          </w:p>
        </w:tc>
        <w:tc>
          <w:tcPr>
            <w:tcW w:w="1148" w:type="dxa"/>
            <w:vAlign w:val="center"/>
          </w:tcPr>
          <w:p w14:paraId="79812DFE" w14:textId="77777777" w:rsidR="008B14B1" w:rsidRDefault="008B14B1" w:rsidP="008B14B1">
            <w:pPr>
              <w:pStyle w:val="TableParagraph"/>
              <w:jc w:val="center"/>
            </w:pPr>
            <w:r>
              <w:t>599</w:t>
            </w:r>
          </w:p>
        </w:tc>
        <w:tc>
          <w:tcPr>
            <w:tcW w:w="1217" w:type="dxa"/>
            <w:vAlign w:val="center"/>
          </w:tcPr>
          <w:p w14:paraId="6BCE668D" w14:textId="77777777" w:rsidR="008B14B1" w:rsidRDefault="00333628" w:rsidP="008B14B1">
            <w:pPr>
              <w:pStyle w:val="TableParagraph"/>
              <w:jc w:val="center"/>
            </w:pPr>
            <w:r>
              <w:t xml:space="preserve">Not Available </w:t>
            </w:r>
          </w:p>
        </w:tc>
        <w:tc>
          <w:tcPr>
            <w:tcW w:w="896" w:type="dxa"/>
            <w:vAlign w:val="center"/>
          </w:tcPr>
          <w:p w14:paraId="68412409" w14:textId="77777777" w:rsidR="008B14B1" w:rsidRPr="00425C28" w:rsidRDefault="00333628" w:rsidP="008B14B1">
            <w:pPr>
              <w:pStyle w:val="TableParagraph"/>
              <w:jc w:val="center"/>
            </w:pPr>
            <w:r w:rsidRPr="00333628">
              <w:t>2</w:t>
            </w:r>
            <w:r>
              <w:t>,</w:t>
            </w:r>
            <w:r w:rsidRPr="00333628">
              <w:t>811</w:t>
            </w:r>
          </w:p>
        </w:tc>
      </w:tr>
    </w:tbl>
    <w:p w14:paraId="5A8D42F2" w14:textId="77777777" w:rsidR="005110B2" w:rsidRDefault="005110B2" w:rsidP="005110B2">
      <w:pPr>
        <w:pStyle w:val="Heading2"/>
      </w:pPr>
      <w:bookmarkStart w:id="49" w:name="_Toc497934279"/>
      <w:r>
        <w:t>Performance against the Evaluation Terms of Reference</w:t>
      </w:r>
      <w:bookmarkEnd w:id="49"/>
      <w:r>
        <w:t xml:space="preserve"> </w:t>
      </w:r>
    </w:p>
    <w:p w14:paraId="784E1BCC" w14:textId="77777777" w:rsidR="00D12D6E" w:rsidRDefault="00D12D6E" w:rsidP="00AE785D">
      <w:pPr>
        <w:pStyle w:val="BodyText-parastyle"/>
      </w:pPr>
      <w:r>
        <w:t xml:space="preserve">The terms of reference for this assignment require that evidence is sought and analysed with regard to the extent to which the Social Prescribing service has delivered on reduced primary and secondary care usage as well as health and wellbeing impacts, specifically: </w:t>
      </w:r>
    </w:p>
    <w:p w14:paraId="678D51CD" w14:textId="77777777" w:rsidR="00D12D6E" w:rsidRDefault="00D12D6E" w:rsidP="00D53262">
      <w:pPr>
        <w:pStyle w:val="ListParagraph"/>
        <w:numPr>
          <w:ilvl w:val="0"/>
          <w:numId w:val="9"/>
        </w:numPr>
      </w:pPr>
      <w:r>
        <w:t>Primary outcomes:</w:t>
      </w:r>
    </w:p>
    <w:p w14:paraId="33880682" w14:textId="77777777" w:rsidR="00D12D6E" w:rsidRDefault="00D12D6E" w:rsidP="00D53262">
      <w:pPr>
        <w:pStyle w:val="-bullet"/>
      </w:pPr>
      <w:r>
        <w:t>[Reduced] Primary care use by prescription recipients, and savings associated with any reduction (in terms of a reduction in spending on individuals receiving a social prescription);</w:t>
      </w:r>
    </w:p>
    <w:p w14:paraId="046E6553" w14:textId="77777777" w:rsidR="00D12D6E" w:rsidRDefault="00D12D6E" w:rsidP="00D53262">
      <w:pPr>
        <w:pStyle w:val="-bullet"/>
      </w:pPr>
      <w:r>
        <w:t>[Reduced] Secondary care use and savings associated with any reduction; and</w:t>
      </w:r>
    </w:p>
    <w:p w14:paraId="1A31C831" w14:textId="77777777" w:rsidR="00D12D6E" w:rsidRDefault="00D12D6E" w:rsidP="00D53262">
      <w:pPr>
        <w:pStyle w:val="-bullet"/>
      </w:pPr>
      <w:r>
        <w:t>Impact on social care use, and savings associated with any reduction.</w:t>
      </w:r>
    </w:p>
    <w:p w14:paraId="02D9CBA2" w14:textId="77777777" w:rsidR="00D12D6E" w:rsidRDefault="00D12D6E" w:rsidP="00D53262">
      <w:pPr>
        <w:pStyle w:val="ListParagraph"/>
        <w:numPr>
          <w:ilvl w:val="0"/>
          <w:numId w:val="9"/>
        </w:numPr>
      </w:pPr>
      <w:r>
        <w:t>Secondary outcomes:</w:t>
      </w:r>
    </w:p>
    <w:p w14:paraId="7865B26E" w14:textId="77777777" w:rsidR="00D12D6E" w:rsidRDefault="00D12D6E" w:rsidP="00D53262">
      <w:pPr>
        <w:pStyle w:val="-bullet"/>
      </w:pPr>
      <w:r>
        <w:t>Impact on mental wellbeing, social isolation and general health, and patient experience of social prescribing;</w:t>
      </w:r>
    </w:p>
    <w:p w14:paraId="707B2916" w14:textId="77777777" w:rsidR="00D12D6E" w:rsidRDefault="00D12D6E" w:rsidP="00D53262">
      <w:pPr>
        <w:pStyle w:val="-bullet"/>
      </w:pPr>
      <w:r>
        <w:t xml:space="preserve">Cost [savings] to the NHS and </w:t>
      </w:r>
      <w:r w:rsidR="00B57459">
        <w:t>ECC</w:t>
      </w:r>
      <w:r>
        <w:t xml:space="preserve"> of providing the services that people are directed to via social prescriptions; and</w:t>
      </w:r>
    </w:p>
    <w:p w14:paraId="3FE41CF7" w14:textId="77777777" w:rsidR="00D12D6E" w:rsidRDefault="00D12D6E" w:rsidP="00D53262">
      <w:pPr>
        <w:pStyle w:val="-bullet"/>
      </w:pPr>
      <w:r>
        <w:t>Whole-system impacts of the SP approach, including impact on SP providers, improving community resilience and capacity, improving inter-organisational relationships and joint working.</w:t>
      </w:r>
    </w:p>
    <w:p w14:paraId="2D37FFD5" w14:textId="2CFB6560" w:rsidR="00D12D6E" w:rsidRDefault="00D12D6E" w:rsidP="00AE785D">
      <w:pPr>
        <w:pStyle w:val="BodyText-parastyle"/>
      </w:pPr>
      <w:r>
        <w:t xml:space="preserve">RSM PACEC have collected evidence for each outcome by surveying users and comparing baseline results with </w:t>
      </w:r>
      <w:r w:rsidR="00F938AF">
        <w:t>a follow</w:t>
      </w:r>
      <w:r>
        <w:t xml:space="preserve">-up survey, the results of which are detailed in the following sections. </w:t>
      </w:r>
      <w:r w:rsidR="00F938AF" w:rsidRPr="00F938AF">
        <w:t>The survey was com</w:t>
      </w:r>
      <w:r w:rsidR="00EE3079">
        <w:t>pleted with service users in</w:t>
      </w:r>
      <w:r w:rsidR="00F938AF" w:rsidRPr="00F938AF">
        <w:t xml:space="preserve"> Basildon and Brentwood (Social Prescribing project); Castle Point and Rochford (Ways to Wellness project); Mid Essex (Connect Well project); North East Colchester (My Social Prescription project); and West Essex (Smart Life project)</w:t>
      </w:r>
      <w:r w:rsidR="00F938AF">
        <w:t xml:space="preserve">. It was not possible to complete a survey with service users in the North East Tendring project or Southend Social Prescribing project. </w:t>
      </w:r>
    </w:p>
    <w:p w14:paraId="585E4886" w14:textId="77777777" w:rsidR="00D12D6E" w:rsidRDefault="00D12D6E" w:rsidP="00D465F1">
      <w:pPr>
        <w:pStyle w:val="Heading3"/>
      </w:pPr>
      <w:r>
        <w:t>Survey Responses</w:t>
      </w:r>
    </w:p>
    <w:p w14:paraId="341114B9" w14:textId="77777777" w:rsidR="00D12D6E" w:rsidRDefault="00D12D6E" w:rsidP="00AE785D">
      <w:pPr>
        <w:pStyle w:val="BodyText-parastyle"/>
      </w:pPr>
      <w:r>
        <w:t xml:space="preserve">The approach to completing the survey is outlined in </w:t>
      </w:r>
      <w:r w:rsidRPr="002E5A58">
        <w:t xml:space="preserve">section </w:t>
      </w:r>
      <w:r w:rsidR="003702C8">
        <w:t>3.1</w:t>
      </w:r>
      <w:r w:rsidRPr="002E5A58">
        <w:t xml:space="preserve"> and the questionnaires</w:t>
      </w:r>
      <w:r>
        <w:t xml:space="preserve"> are contained in Appendices 1 and 2. </w:t>
      </w:r>
    </w:p>
    <w:p w14:paraId="0E54C118" w14:textId="77777777" w:rsidR="00D12D6E" w:rsidRDefault="00E86DBE" w:rsidP="00AE785D">
      <w:pPr>
        <w:pStyle w:val="BodyText-parastyle"/>
      </w:pPr>
      <w:r w:rsidRPr="00994D73">
        <w:t xml:space="preserve">Overall </w:t>
      </w:r>
      <w:r w:rsidR="00994D73" w:rsidRPr="00994D73">
        <w:t>276</w:t>
      </w:r>
      <w:r w:rsidR="00D12D6E" w:rsidRPr="00994D73">
        <w:t xml:space="preserve"> service users completed a survey at their initial engagement with the project and 1</w:t>
      </w:r>
      <w:r w:rsidRPr="00994D73">
        <w:t>36</w:t>
      </w:r>
      <w:r w:rsidR="00D12D6E" w:rsidRPr="00994D73">
        <w:t xml:space="preserve"> completed both a survey following their initial engagement and a follow-up survey during the period following engagement. All consenting service users were contacted at a minimum of five times with a request to complete the survey. Progress was communicated at the Network Meeting in January 2017 and thereafter on a weekly basis. The details of who were not contactable / refused to complete the survey with RSM PACEC were communicated to the project leads to follow-up (where appr</w:t>
      </w:r>
      <w:r w:rsidR="00994D73">
        <w:t xml:space="preserve">opriate) to increase responses. </w:t>
      </w:r>
    </w:p>
    <w:p w14:paraId="64807EEC" w14:textId="77777777" w:rsidR="00D12D6E" w:rsidRPr="006E0526" w:rsidRDefault="00D12D6E" w:rsidP="00AE785D">
      <w:pPr>
        <w:pStyle w:val="BodyText-parastyle"/>
      </w:pPr>
      <w:r w:rsidRPr="006E0526">
        <w:t>The survey sample is not representative of the entire population of Social Prescribing users and findings should be treated with caution. They provide an illustration of the outcomes and impacts that might occur more widely as a result of the project in the longer term.</w:t>
      </w:r>
    </w:p>
    <w:p w14:paraId="30920F55" w14:textId="77777777" w:rsidR="00665776" w:rsidRDefault="00D12D6E" w:rsidP="00AE785D">
      <w:pPr>
        <w:pStyle w:val="BodyText-parastyle"/>
      </w:pPr>
      <w:r w:rsidRPr="00B92E28">
        <w:t>The evidence is based on</w:t>
      </w:r>
      <w:r w:rsidRPr="001538C6">
        <w:t xml:space="preserve"> service user self-reporting of health service use </w:t>
      </w:r>
      <w:r>
        <w:t xml:space="preserve">and therefore </w:t>
      </w:r>
      <w:r w:rsidRPr="001538C6">
        <w:t>can be unreliable</w:t>
      </w:r>
      <w:r>
        <w:t>. Ideally patient-level health data on usage levels would be used, however this was investigated and was not available within the t</w:t>
      </w:r>
      <w:r w:rsidR="005E5418">
        <w:t xml:space="preserve">imescales for this evaluation. </w:t>
      </w:r>
    </w:p>
    <w:p w14:paraId="6E63036C" w14:textId="77777777" w:rsidR="00D12D6E" w:rsidRDefault="00D12D6E" w:rsidP="00D465F1">
      <w:pPr>
        <w:pStyle w:val="Heading3"/>
      </w:pPr>
      <w:r>
        <w:t>Primary Outcomes</w:t>
      </w:r>
    </w:p>
    <w:p w14:paraId="67873460" w14:textId="77777777" w:rsidR="00D12D6E" w:rsidRDefault="005E5418" w:rsidP="00AE785D">
      <w:pPr>
        <w:pStyle w:val="BodyText-parastyle"/>
      </w:pPr>
      <w:r>
        <w:t xml:space="preserve">Service </w:t>
      </w:r>
      <w:r w:rsidR="00D12D6E">
        <w:t>users who completed the baseline and follow-up surveys (n=</w:t>
      </w:r>
      <w:r>
        <w:t>136</w:t>
      </w:r>
      <w:r w:rsidR="00D12D6E">
        <w:t xml:space="preserve">) were asked to provide a figure for the number of primary, secondary and social care engagements they had in the past three months. These responses can be compared to provide their perspective on their use of services immediately prior to and following their referral to the project. </w:t>
      </w:r>
    </w:p>
    <w:p w14:paraId="48F147AD" w14:textId="77777777" w:rsidR="006F7557" w:rsidRDefault="00D12D6E" w:rsidP="00AE785D">
      <w:pPr>
        <w:pStyle w:val="BodyText-parastyle"/>
      </w:pPr>
      <w:r>
        <w:t xml:space="preserve">Table </w:t>
      </w:r>
      <w:r w:rsidR="006745EF">
        <w:t>6</w:t>
      </w:r>
      <w:r w:rsidR="006F7557">
        <w:t>.5</w:t>
      </w:r>
      <w:r>
        <w:t xml:space="preserve"> provides an overview of respondent’s reported use of primary </w:t>
      </w:r>
      <w:r w:rsidR="005E5418">
        <w:t>services over a 3 month period.</w:t>
      </w:r>
    </w:p>
    <w:p w14:paraId="6B579AE7" w14:textId="77777777" w:rsidR="00D12D6E" w:rsidRDefault="00D12D6E"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5</w:t>
      </w:r>
      <w:r w:rsidR="00603E87">
        <w:fldChar w:fldCharType="end"/>
      </w:r>
      <w:r>
        <w:t>: Reduced use of primary services</w:t>
      </w:r>
      <w:r w:rsidRPr="006012CC">
        <w:t xml:space="preserve"> </w:t>
      </w:r>
      <w:r>
        <w:t>(over a 3 month period; n=</w:t>
      </w:r>
      <w:r w:rsidR="005E5418">
        <w:t>136</w:t>
      </w:r>
      <w:r>
        <w:t>)</w:t>
      </w:r>
    </w:p>
    <w:tbl>
      <w:tblPr>
        <w:tblStyle w:val="ForfasTableGrid1"/>
        <w:tblW w:w="9769" w:type="dxa"/>
        <w:tblLook w:val="04A0" w:firstRow="1" w:lastRow="0" w:firstColumn="1" w:lastColumn="0" w:noHBand="0" w:noVBand="1"/>
      </w:tblPr>
      <w:tblGrid>
        <w:gridCol w:w="1969"/>
        <w:gridCol w:w="628"/>
        <w:gridCol w:w="700"/>
        <w:gridCol w:w="616"/>
        <w:gridCol w:w="697"/>
        <w:gridCol w:w="613"/>
        <w:gridCol w:w="694"/>
        <w:gridCol w:w="627"/>
        <w:gridCol w:w="701"/>
        <w:gridCol w:w="621"/>
        <w:gridCol w:w="641"/>
        <w:gridCol w:w="621"/>
        <w:gridCol w:w="641"/>
      </w:tblGrid>
      <w:tr w:rsidR="005E5418" w:rsidRPr="00742604" w14:paraId="78F10D65" w14:textId="77777777" w:rsidTr="005E5418">
        <w:trPr>
          <w:cnfStyle w:val="100000000000" w:firstRow="1" w:lastRow="0" w:firstColumn="0" w:lastColumn="0" w:oddVBand="0" w:evenVBand="0" w:oddHBand="0" w:evenHBand="0" w:firstRowFirstColumn="0" w:firstRowLastColumn="0" w:lastRowFirstColumn="0" w:lastRowLastColumn="0"/>
          <w:tblHeader/>
        </w:trPr>
        <w:tc>
          <w:tcPr>
            <w:tcW w:w="1977" w:type="dxa"/>
            <w:vMerge w:val="restart"/>
          </w:tcPr>
          <w:p w14:paraId="1ADE6EB4" w14:textId="77777777" w:rsidR="00D12D6E" w:rsidRPr="00742604" w:rsidRDefault="00D12D6E" w:rsidP="0012257C">
            <w:pPr>
              <w:pStyle w:val="TableHeading"/>
            </w:pPr>
          </w:p>
        </w:tc>
        <w:tc>
          <w:tcPr>
            <w:tcW w:w="1329" w:type="dxa"/>
            <w:gridSpan w:val="2"/>
          </w:tcPr>
          <w:p w14:paraId="6249C0B0" w14:textId="77777777" w:rsidR="00D12D6E" w:rsidRPr="00742604" w:rsidRDefault="00D12D6E" w:rsidP="0012257C">
            <w:pPr>
              <w:pStyle w:val="TableHeading"/>
            </w:pPr>
            <w:r>
              <w:t xml:space="preserve">Basildon and Brentwood </w:t>
            </w:r>
          </w:p>
        </w:tc>
        <w:tc>
          <w:tcPr>
            <w:tcW w:w="1318" w:type="dxa"/>
            <w:gridSpan w:val="2"/>
          </w:tcPr>
          <w:p w14:paraId="4271FCD9" w14:textId="77777777" w:rsidR="00D12D6E" w:rsidRDefault="00D12D6E" w:rsidP="0012257C">
            <w:pPr>
              <w:pStyle w:val="TableHeading"/>
            </w:pPr>
            <w:r>
              <w:t>Castle Point and Rochford</w:t>
            </w:r>
          </w:p>
        </w:tc>
        <w:tc>
          <w:tcPr>
            <w:tcW w:w="1318" w:type="dxa"/>
            <w:gridSpan w:val="2"/>
          </w:tcPr>
          <w:p w14:paraId="29FDF3AA" w14:textId="77777777" w:rsidR="00D12D6E" w:rsidRDefault="00D12D6E" w:rsidP="0012257C">
            <w:pPr>
              <w:pStyle w:val="TableHeading"/>
            </w:pPr>
            <w:r>
              <w:t>Mid Essex</w:t>
            </w:r>
          </w:p>
        </w:tc>
        <w:tc>
          <w:tcPr>
            <w:tcW w:w="1330" w:type="dxa"/>
            <w:gridSpan w:val="2"/>
          </w:tcPr>
          <w:p w14:paraId="0E798AA4" w14:textId="77777777" w:rsidR="00D12D6E" w:rsidRDefault="00D12D6E" w:rsidP="0012257C">
            <w:pPr>
              <w:pStyle w:val="TableHeading"/>
            </w:pPr>
            <w:r>
              <w:t xml:space="preserve">Colchester </w:t>
            </w:r>
          </w:p>
        </w:tc>
        <w:tc>
          <w:tcPr>
            <w:tcW w:w="1233" w:type="dxa"/>
            <w:gridSpan w:val="2"/>
          </w:tcPr>
          <w:p w14:paraId="67C86CCC" w14:textId="77777777" w:rsidR="00D12D6E" w:rsidRDefault="00AD0525" w:rsidP="0012257C">
            <w:pPr>
              <w:pStyle w:val="TableHeading"/>
            </w:pPr>
            <w:r>
              <w:t xml:space="preserve">West Essex </w:t>
            </w:r>
          </w:p>
        </w:tc>
        <w:tc>
          <w:tcPr>
            <w:tcW w:w="1264" w:type="dxa"/>
            <w:gridSpan w:val="2"/>
          </w:tcPr>
          <w:p w14:paraId="0F02C94B" w14:textId="77777777" w:rsidR="00D12D6E" w:rsidRDefault="00AD0525" w:rsidP="0012257C">
            <w:pPr>
              <w:pStyle w:val="TableHeading"/>
            </w:pPr>
            <w:r>
              <w:t>Total</w:t>
            </w:r>
          </w:p>
        </w:tc>
      </w:tr>
      <w:tr w:rsidR="005E5418" w:rsidRPr="00742604" w14:paraId="1ED66253" w14:textId="77777777" w:rsidTr="005E5418">
        <w:trPr>
          <w:cnfStyle w:val="100000000000" w:firstRow="1" w:lastRow="0" w:firstColumn="0" w:lastColumn="0" w:oddVBand="0" w:evenVBand="0" w:oddHBand="0" w:evenHBand="0" w:firstRowFirstColumn="0" w:firstRowLastColumn="0" w:lastRowFirstColumn="0" w:lastRowLastColumn="0"/>
          <w:tblHeader/>
        </w:trPr>
        <w:tc>
          <w:tcPr>
            <w:tcW w:w="2028" w:type="dxa"/>
            <w:vMerge/>
          </w:tcPr>
          <w:p w14:paraId="529BE303" w14:textId="77777777" w:rsidR="00D12D6E" w:rsidRPr="00E07CE2" w:rsidRDefault="00D12D6E" w:rsidP="00D12D6E"/>
        </w:tc>
        <w:tc>
          <w:tcPr>
            <w:tcW w:w="639" w:type="dxa"/>
          </w:tcPr>
          <w:p w14:paraId="4160C5BA" w14:textId="77777777" w:rsidR="00D12D6E" w:rsidRDefault="00D12D6E" w:rsidP="00D12D6E">
            <w:pPr>
              <w:pStyle w:val="TableHeading"/>
            </w:pPr>
            <w:r>
              <w:t>N</w:t>
            </w:r>
          </w:p>
        </w:tc>
        <w:tc>
          <w:tcPr>
            <w:tcW w:w="704" w:type="dxa"/>
          </w:tcPr>
          <w:p w14:paraId="388E5008" w14:textId="77777777" w:rsidR="00D12D6E" w:rsidRDefault="00D12D6E" w:rsidP="00D12D6E">
            <w:pPr>
              <w:pStyle w:val="TableHeading"/>
            </w:pPr>
            <w:r>
              <w:t>%</w:t>
            </w:r>
          </w:p>
        </w:tc>
        <w:tc>
          <w:tcPr>
            <w:tcW w:w="641" w:type="dxa"/>
          </w:tcPr>
          <w:p w14:paraId="46A1061E" w14:textId="77777777" w:rsidR="00D12D6E" w:rsidRDefault="00D12D6E" w:rsidP="00D12D6E">
            <w:pPr>
              <w:pStyle w:val="TableHeading"/>
            </w:pPr>
            <w:r>
              <w:t>N</w:t>
            </w:r>
          </w:p>
        </w:tc>
        <w:tc>
          <w:tcPr>
            <w:tcW w:w="640" w:type="dxa"/>
          </w:tcPr>
          <w:p w14:paraId="2A74841E" w14:textId="77777777" w:rsidR="00D12D6E" w:rsidRDefault="00D12D6E" w:rsidP="00D12D6E">
            <w:pPr>
              <w:pStyle w:val="TableHeading"/>
            </w:pPr>
            <w:r>
              <w:t>%</w:t>
            </w:r>
          </w:p>
        </w:tc>
        <w:tc>
          <w:tcPr>
            <w:tcW w:w="637" w:type="dxa"/>
          </w:tcPr>
          <w:p w14:paraId="52FD36DC" w14:textId="77777777" w:rsidR="00D12D6E" w:rsidRDefault="00D12D6E" w:rsidP="00D12D6E">
            <w:pPr>
              <w:pStyle w:val="TableHeading"/>
            </w:pPr>
            <w:r>
              <w:t>N</w:t>
            </w:r>
          </w:p>
        </w:tc>
        <w:tc>
          <w:tcPr>
            <w:tcW w:w="638" w:type="dxa"/>
          </w:tcPr>
          <w:p w14:paraId="572E6618" w14:textId="77777777" w:rsidR="00D12D6E" w:rsidRDefault="00D12D6E" w:rsidP="00D12D6E">
            <w:pPr>
              <w:pStyle w:val="TableHeading"/>
            </w:pPr>
            <w:r>
              <w:t>%</w:t>
            </w:r>
          </w:p>
        </w:tc>
        <w:tc>
          <w:tcPr>
            <w:tcW w:w="643" w:type="dxa"/>
          </w:tcPr>
          <w:p w14:paraId="2A0F8E32" w14:textId="77777777" w:rsidR="00D12D6E" w:rsidRDefault="00D12D6E" w:rsidP="00D12D6E">
            <w:pPr>
              <w:pStyle w:val="TableHeading"/>
            </w:pPr>
            <w:r>
              <w:t>N</w:t>
            </w:r>
          </w:p>
        </w:tc>
        <w:tc>
          <w:tcPr>
            <w:tcW w:w="642" w:type="dxa"/>
          </w:tcPr>
          <w:p w14:paraId="31CEE816" w14:textId="77777777" w:rsidR="00D12D6E" w:rsidRDefault="00D12D6E" w:rsidP="00D12D6E">
            <w:pPr>
              <w:pStyle w:val="TableHeading"/>
            </w:pPr>
            <w:r>
              <w:t>%</w:t>
            </w:r>
          </w:p>
        </w:tc>
        <w:tc>
          <w:tcPr>
            <w:tcW w:w="637" w:type="dxa"/>
          </w:tcPr>
          <w:p w14:paraId="69AA5840" w14:textId="77777777" w:rsidR="00D12D6E" w:rsidRDefault="00D12D6E" w:rsidP="00D12D6E">
            <w:pPr>
              <w:pStyle w:val="TableHeading"/>
            </w:pPr>
            <w:r>
              <w:t>N</w:t>
            </w:r>
          </w:p>
        </w:tc>
        <w:tc>
          <w:tcPr>
            <w:tcW w:w="638" w:type="dxa"/>
          </w:tcPr>
          <w:p w14:paraId="47087B4C" w14:textId="77777777" w:rsidR="00D12D6E" w:rsidRDefault="00D12D6E" w:rsidP="00D12D6E">
            <w:pPr>
              <w:pStyle w:val="TableHeading"/>
            </w:pPr>
            <w:r>
              <w:t>%</w:t>
            </w:r>
          </w:p>
        </w:tc>
        <w:tc>
          <w:tcPr>
            <w:tcW w:w="639" w:type="dxa"/>
          </w:tcPr>
          <w:p w14:paraId="2B6EE99A" w14:textId="77777777" w:rsidR="00D12D6E" w:rsidRDefault="00D12D6E" w:rsidP="00D12D6E">
            <w:pPr>
              <w:pStyle w:val="TableHeading"/>
            </w:pPr>
            <w:r>
              <w:t>N</w:t>
            </w:r>
          </w:p>
        </w:tc>
        <w:tc>
          <w:tcPr>
            <w:tcW w:w="643" w:type="dxa"/>
          </w:tcPr>
          <w:p w14:paraId="59048E5D" w14:textId="77777777" w:rsidR="00D12D6E" w:rsidRDefault="00D12D6E" w:rsidP="00D12D6E">
            <w:pPr>
              <w:pStyle w:val="TableHeading"/>
            </w:pPr>
            <w:r>
              <w:t>%</w:t>
            </w:r>
          </w:p>
        </w:tc>
      </w:tr>
      <w:tr w:rsidR="005E5418" w:rsidRPr="00742604" w14:paraId="1F6839EC" w14:textId="77777777" w:rsidTr="005E5418">
        <w:trPr>
          <w:cnfStyle w:val="000000100000" w:firstRow="0" w:lastRow="0" w:firstColumn="0" w:lastColumn="0" w:oddVBand="0" w:evenVBand="0" w:oddHBand="1" w:evenHBand="0" w:firstRowFirstColumn="0" w:firstRowLastColumn="0" w:lastRowFirstColumn="0" w:lastRowLastColumn="0"/>
        </w:trPr>
        <w:tc>
          <w:tcPr>
            <w:tcW w:w="2042" w:type="dxa"/>
          </w:tcPr>
          <w:p w14:paraId="2186CA25" w14:textId="77777777" w:rsidR="005E5418" w:rsidRPr="00E07CE2" w:rsidRDefault="005E5418" w:rsidP="00121089">
            <w:pPr>
              <w:pStyle w:val="TableParagraph"/>
            </w:pPr>
            <w:r w:rsidRPr="00E07CE2">
              <w:t>GP</w:t>
            </w:r>
            <w:r>
              <w:t xml:space="preserve"> </w:t>
            </w:r>
            <w:r w:rsidR="00121089">
              <w:t>hours</w:t>
            </w:r>
            <w:r>
              <w:t xml:space="preserve"> (n=125)</w:t>
            </w:r>
          </w:p>
        </w:tc>
        <w:tc>
          <w:tcPr>
            <w:tcW w:w="643" w:type="dxa"/>
            <w:vAlign w:val="center"/>
          </w:tcPr>
          <w:p w14:paraId="4B05A590" w14:textId="77777777" w:rsidR="005E5418" w:rsidRPr="00A07033" w:rsidRDefault="005E5418" w:rsidP="005E5418">
            <w:pPr>
              <w:pStyle w:val="TableParagraph"/>
              <w:jc w:val="center"/>
            </w:pPr>
            <w:r w:rsidRPr="005E5418">
              <w:t>45</w:t>
            </w:r>
          </w:p>
        </w:tc>
        <w:tc>
          <w:tcPr>
            <w:tcW w:w="644" w:type="dxa"/>
            <w:vAlign w:val="center"/>
          </w:tcPr>
          <w:p w14:paraId="32AD6107" w14:textId="77777777" w:rsidR="005E5418" w:rsidRPr="00A07033" w:rsidRDefault="005E5418" w:rsidP="005E5418">
            <w:pPr>
              <w:pStyle w:val="TableParagraph"/>
              <w:jc w:val="center"/>
            </w:pPr>
            <w:r w:rsidRPr="005E5418">
              <w:t>65%</w:t>
            </w:r>
          </w:p>
        </w:tc>
        <w:tc>
          <w:tcPr>
            <w:tcW w:w="644" w:type="dxa"/>
            <w:vAlign w:val="center"/>
          </w:tcPr>
          <w:p w14:paraId="4070099B" w14:textId="77777777" w:rsidR="005E5418" w:rsidRPr="00A07033" w:rsidRDefault="005E5418" w:rsidP="005E5418">
            <w:pPr>
              <w:pStyle w:val="TableParagraph"/>
              <w:jc w:val="center"/>
            </w:pPr>
            <w:r w:rsidRPr="005E5418">
              <w:t>3</w:t>
            </w:r>
          </w:p>
        </w:tc>
        <w:tc>
          <w:tcPr>
            <w:tcW w:w="644" w:type="dxa"/>
            <w:vAlign w:val="center"/>
          </w:tcPr>
          <w:p w14:paraId="252D64C3" w14:textId="77777777" w:rsidR="005E5418" w:rsidRPr="00A07033" w:rsidRDefault="005E5418" w:rsidP="005E5418">
            <w:pPr>
              <w:pStyle w:val="TableParagraph"/>
              <w:jc w:val="center"/>
            </w:pPr>
            <w:r w:rsidRPr="005E5418">
              <w:t>21%</w:t>
            </w:r>
          </w:p>
        </w:tc>
        <w:tc>
          <w:tcPr>
            <w:tcW w:w="644" w:type="dxa"/>
            <w:vAlign w:val="center"/>
          </w:tcPr>
          <w:p w14:paraId="597F646E" w14:textId="77777777" w:rsidR="005E5418" w:rsidRPr="00A07033" w:rsidRDefault="005E5418" w:rsidP="005E5418">
            <w:pPr>
              <w:pStyle w:val="TableParagraph"/>
              <w:jc w:val="center"/>
            </w:pPr>
            <w:r w:rsidRPr="005E5418">
              <w:t>5</w:t>
            </w:r>
          </w:p>
        </w:tc>
        <w:tc>
          <w:tcPr>
            <w:tcW w:w="644" w:type="dxa"/>
            <w:vAlign w:val="center"/>
          </w:tcPr>
          <w:p w14:paraId="073CB6C4" w14:textId="77777777" w:rsidR="005E5418" w:rsidRPr="00A07033" w:rsidRDefault="005E5418" w:rsidP="005E5418">
            <w:pPr>
              <w:pStyle w:val="TableParagraph"/>
              <w:jc w:val="center"/>
            </w:pPr>
            <w:r w:rsidRPr="005E5418">
              <w:t>83%</w:t>
            </w:r>
          </w:p>
        </w:tc>
        <w:tc>
          <w:tcPr>
            <w:tcW w:w="644" w:type="dxa"/>
            <w:vAlign w:val="center"/>
          </w:tcPr>
          <w:p w14:paraId="3F3C38C6" w14:textId="77777777" w:rsidR="005E5418" w:rsidRPr="00A07033" w:rsidRDefault="005E5418" w:rsidP="005E5418">
            <w:pPr>
              <w:pStyle w:val="TableParagraph"/>
              <w:jc w:val="center"/>
            </w:pPr>
            <w:r w:rsidRPr="005E5418">
              <w:t>9</w:t>
            </w:r>
          </w:p>
        </w:tc>
        <w:tc>
          <w:tcPr>
            <w:tcW w:w="644" w:type="dxa"/>
            <w:vAlign w:val="center"/>
          </w:tcPr>
          <w:p w14:paraId="045AC6EB" w14:textId="77777777" w:rsidR="005E5418" w:rsidRPr="00A07033" w:rsidRDefault="005E5418" w:rsidP="005E5418">
            <w:pPr>
              <w:pStyle w:val="TableParagraph"/>
              <w:jc w:val="center"/>
            </w:pPr>
            <w:r w:rsidRPr="005E5418">
              <w:t>47%</w:t>
            </w:r>
          </w:p>
        </w:tc>
        <w:tc>
          <w:tcPr>
            <w:tcW w:w="644" w:type="dxa"/>
            <w:vAlign w:val="center"/>
          </w:tcPr>
          <w:p w14:paraId="298DE7AF" w14:textId="77777777" w:rsidR="005E5418" w:rsidRPr="00A07033" w:rsidRDefault="005E5418" w:rsidP="005E5418">
            <w:pPr>
              <w:pStyle w:val="TableParagraph"/>
              <w:jc w:val="center"/>
            </w:pPr>
            <w:r w:rsidRPr="005E5418">
              <w:t>12</w:t>
            </w:r>
          </w:p>
        </w:tc>
        <w:tc>
          <w:tcPr>
            <w:tcW w:w="644" w:type="dxa"/>
            <w:vAlign w:val="center"/>
          </w:tcPr>
          <w:p w14:paraId="43FDF4E6" w14:textId="77777777" w:rsidR="005E5418" w:rsidRPr="00A07033" w:rsidRDefault="005E5418" w:rsidP="005E5418">
            <w:pPr>
              <w:pStyle w:val="TableParagraph"/>
              <w:jc w:val="center"/>
            </w:pPr>
            <w:r w:rsidRPr="005E5418">
              <w:t>71%</w:t>
            </w:r>
          </w:p>
        </w:tc>
        <w:tc>
          <w:tcPr>
            <w:tcW w:w="644" w:type="dxa"/>
            <w:vAlign w:val="center"/>
          </w:tcPr>
          <w:p w14:paraId="00A8EA9C" w14:textId="77777777" w:rsidR="005E5418" w:rsidRPr="009E4F9C" w:rsidRDefault="005E5418" w:rsidP="005E5418">
            <w:pPr>
              <w:pStyle w:val="TableParagraph"/>
              <w:jc w:val="center"/>
            </w:pPr>
            <w:r w:rsidRPr="009E4F9C">
              <w:t>74</w:t>
            </w:r>
          </w:p>
        </w:tc>
        <w:tc>
          <w:tcPr>
            <w:tcW w:w="644" w:type="dxa"/>
            <w:vAlign w:val="center"/>
          </w:tcPr>
          <w:p w14:paraId="6B3D07FC" w14:textId="77777777" w:rsidR="005E5418" w:rsidRPr="009E4F9C" w:rsidRDefault="005E5418" w:rsidP="005E5418">
            <w:pPr>
              <w:pStyle w:val="TableParagraph"/>
              <w:jc w:val="center"/>
            </w:pPr>
            <w:r w:rsidRPr="009E4F9C">
              <w:t>59%</w:t>
            </w:r>
          </w:p>
        </w:tc>
      </w:tr>
      <w:tr w:rsidR="005E5418" w:rsidRPr="00742604" w14:paraId="3C651FF2" w14:textId="77777777" w:rsidTr="005E5418">
        <w:trPr>
          <w:cnfStyle w:val="000000010000" w:firstRow="0" w:lastRow="0" w:firstColumn="0" w:lastColumn="0" w:oddVBand="0" w:evenVBand="0" w:oddHBand="0" w:evenHBand="1" w:firstRowFirstColumn="0" w:firstRowLastColumn="0" w:lastRowFirstColumn="0" w:lastRowLastColumn="0"/>
        </w:trPr>
        <w:tc>
          <w:tcPr>
            <w:tcW w:w="1977" w:type="dxa"/>
          </w:tcPr>
          <w:p w14:paraId="7C82DCFC" w14:textId="77777777" w:rsidR="005E5418" w:rsidRPr="00E07CE2" w:rsidRDefault="005E5418" w:rsidP="005E5418">
            <w:pPr>
              <w:pStyle w:val="TableParagraph"/>
            </w:pPr>
            <w:r>
              <w:t xml:space="preserve">Receiving </w:t>
            </w:r>
            <w:r w:rsidRPr="00E07CE2">
              <w:t>Prescriptions</w:t>
            </w:r>
          </w:p>
        </w:tc>
        <w:tc>
          <w:tcPr>
            <w:tcW w:w="625" w:type="dxa"/>
            <w:vAlign w:val="center"/>
          </w:tcPr>
          <w:p w14:paraId="4364AFF9" w14:textId="77777777" w:rsidR="005E5418" w:rsidRPr="008E3AE6" w:rsidRDefault="005E5418" w:rsidP="005E5418">
            <w:pPr>
              <w:pStyle w:val="TableParagraph"/>
              <w:jc w:val="center"/>
            </w:pPr>
            <w:r w:rsidRPr="005E5418">
              <w:t>26</w:t>
            </w:r>
          </w:p>
        </w:tc>
        <w:tc>
          <w:tcPr>
            <w:tcW w:w="704" w:type="dxa"/>
            <w:vAlign w:val="center"/>
          </w:tcPr>
          <w:p w14:paraId="08BFCA30" w14:textId="77777777" w:rsidR="005E5418" w:rsidRPr="008E3AE6" w:rsidRDefault="005E5418" w:rsidP="005E5418">
            <w:pPr>
              <w:pStyle w:val="TableParagraph"/>
              <w:jc w:val="center"/>
            </w:pPr>
            <w:r w:rsidRPr="005E5418">
              <w:t>38%</w:t>
            </w:r>
          </w:p>
        </w:tc>
        <w:tc>
          <w:tcPr>
            <w:tcW w:w="614" w:type="dxa"/>
            <w:vAlign w:val="center"/>
          </w:tcPr>
          <w:p w14:paraId="40BC480A" w14:textId="77777777" w:rsidR="005E5418" w:rsidRPr="008E3AE6" w:rsidRDefault="005E5418" w:rsidP="005E5418">
            <w:pPr>
              <w:pStyle w:val="TableParagraph"/>
              <w:jc w:val="center"/>
            </w:pPr>
            <w:r w:rsidRPr="005E5418">
              <w:t>5</w:t>
            </w:r>
          </w:p>
        </w:tc>
        <w:tc>
          <w:tcPr>
            <w:tcW w:w="704" w:type="dxa"/>
            <w:vAlign w:val="center"/>
          </w:tcPr>
          <w:p w14:paraId="12246EBE" w14:textId="77777777" w:rsidR="005E5418" w:rsidRPr="008E3AE6" w:rsidRDefault="005E5418" w:rsidP="005E5418">
            <w:pPr>
              <w:pStyle w:val="TableParagraph"/>
              <w:jc w:val="center"/>
            </w:pPr>
            <w:r w:rsidRPr="005E5418">
              <w:t>24%</w:t>
            </w:r>
          </w:p>
        </w:tc>
        <w:tc>
          <w:tcPr>
            <w:tcW w:w="614" w:type="dxa"/>
            <w:vAlign w:val="center"/>
          </w:tcPr>
          <w:p w14:paraId="1AB930F7" w14:textId="77777777" w:rsidR="005E5418" w:rsidRPr="008E3AE6" w:rsidRDefault="005E5418" w:rsidP="005E5418">
            <w:pPr>
              <w:pStyle w:val="TableParagraph"/>
              <w:jc w:val="center"/>
            </w:pPr>
            <w:r w:rsidRPr="005E5418">
              <w:t>3</w:t>
            </w:r>
          </w:p>
        </w:tc>
        <w:tc>
          <w:tcPr>
            <w:tcW w:w="704" w:type="dxa"/>
            <w:vAlign w:val="center"/>
          </w:tcPr>
          <w:p w14:paraId="4D982136" w14:textId="77777777" w:rsidR="005E5418" w:rsidRPr="008E3AE6" w:rsidRDefault="005E5418" w:rsidP="005E5418">
            <w:pPr>
              <w:pStyle w:val="TableParagraph"/>
              <w:jc w:val="center"/>
            </w:pPr>
            <w:r w:rsidRPr="005E5418">
              <w:t>50%</w:t>
            </w:r>
          </w:p>
        </w:tc>
        <w:tc>
          <w:tcPr>
            <w:tcW w:w="626" w:type="dxa"/>
            <w:vAlign w:val="center"/>
          </w:tcPr>
          <w:p w14:paraId="603EF845" w14:textId="77777777" w:rsidR="005E5418" w:rsidRPr="008E3AE6" w:rsidRDefault="005E5418" w:rsidP="005E5418">
            <w:pPr>
              <w:pStyle w:val="TableParagraph"/>
              <w:jc w:val="center"/>
            </w:pPr>
            <w:r w:rsidRPr="005E5418">
              <w:t>3</w:t>
            </w:r>
          </w:p>
        </w:tc>
        <w:tc>
          <w:tcPr>
            <w:tcW w:w="704" w:type="dxa"/>
            <w:vAlign w:val="center"/>
          </w:tcPr>
          <w:p w14:paraId="6AC75F3B" w14:textId="77777777" w:rsidR="005E5418" w:rsidRPr="008E3AE6" w:rsidRDefault="005E5418" w:rsidP="005E5418">
            <w:pPr>
              <w:pStyle w:val="TableParagraph"/>
              <w:jc w:val="center"/>
            </w:pPr>
            <w:r w:rsidRPr="005E5418">
              <w:t>16%</w:t>
            </w:r>
          </w:p>
        </w:tc>
        <w:tc>
          <w:tcPr>
            <w:tcW w:w="615" w:type="dxa"/>
            <w:vAlign w:val="center"/>
          </w:tcPr>
          <w:p w14:paraId="7D9D5769" w14:textId="77777777" w:rsidR="005E5418" w:rsidRPr="008E3AE6" w:rsidRDefault="005E5418" w:rsidP="005E5418">
            <w:pPr>
              <w:pStyle w:val="TableParagraph"/>
              <w:jc w:val="center"/>
            </w:pPr>
            <w:r w:rsidRPr="005E5418">
              <w:t>9</w:t>
            </w:r>
          </w:p>
        </w:tc>
        <w:tc>
          <w:tcPr>
            <w:tcW w:w="618" w:type="dxa"/>
            <w:vAlign w:val="center"/>
          </w:tcPr>
          <w:p w14:paraId="182F5673" w14:textId="77777777" w:rsidR="005E5418" w:rsidRPr="008E3AE6" w:rsidRDefault="005E5418" w:rsidP="005E5418">
            <w:pPr>
              <w:pStyle w:val="TableParagraph"/>
              <w:jc w:val="center"/>
            </w:pPr>
            <w:r w:rsidRPr="005E5418">
              <w:t>43%</w:t>
            </w:r>
          </w:p>
        </w:tc>
        <w:tc>
          <w:tcPr>
            <w:tcW w:w="623" w:type="dxa"/>
            <w:vAlign w:val="center"/>
          </w:tcPr>
          <w:p w14:paraId="6B1444A1" w14:textId="77777777" w:rsidR="005E5418" w:rsidRPr="009E4F9C" w:rsidRDefault="005E5418" w:rsidP="005E5418">
            <w:pPr>
              <w:pStyle w:val="TableParagraph"/>
              <w:jc w:val="center"/>
            </w:pPr>
            <w:r w:rsidRPr="009E4F9C">
              <w:t>46</w:t>
            </w:r>
          </w:p>
        </w:tc>
        <w:tc>
          <w:tcPr>
            <w:tcW w:w="641" w:type="dxa"/>
            <w:vAlign w:val="center"/>
          </w:tcPr>
          <w:p w14:paraId="0399BFF1" w14:textId="77777777" w:rsidR="005E5418" w:rsidRPr="009E4F9C" w:rsidRDefault="005E5418" w:rsidP="005E5418">
            <w:pPr>
              <w:pStyle w:val="TableParagraph"/>
              <w:jc w:val="center"/>
            </w:pPr>
            <w:r w:rsidRPr="009E4F9C">
              <w:t>34%</w:t>
            </w:r>
          </w:p>
        </w:tc>
      </w:tr>
      <w:tr w:rsidR="005E5418" w:rsidRPr="00742604" w14:paraId="28ACE1AF" w14:textId="77777777" w:rsidTr="005E5418">
        <w:trPr>
          <w:cnfStyle w:val="000000100000" w:firstRow="0" w:lastRow="0" w:firstColumn="0" w:lastColumn="0" w:oddVBand="0" w:evenVBand="0" w:oddHBand="1" w:evenHBand="0" w:firstRowFirstColumn="0" w:firstRowLastColumn="0" w:lastRowFirstColumn="0" w:lastRowLastColumn="0"/>
        </w:trPr>
        <w:tc>
          <w:tcPr>
            <w:tcW w:w="1977" w:type="dxa"/>
          </w:tcPr>
          <w:p w14:paraId="0E8764E1" w14:textId="77777777" w:rsidR="005E5418" w:rsidRPr="00E07CE2" w:rsidRDefault="005E5418" w:rsidP="005E5418">
            <w:pPr>
              <w:pStyle w:val="TableParagraph"/>
            </w:pPr>
            <w:r>
              <w:t>Counselling services</w:t>
            </w:r>
          </w:p>
        </w:tc>
        <w:tc>
          <w:tcPr>
            <w:tcW w:w="625" w:type="dxa"/>
            <w:vAlign w:val="center"/>
          </w:tcPr>
          <w:p w14:paraId="7B35B6AB" w14:textId="77777777" w:rsidR="005E5418" w:rsidRPr="00F72248" w:rsidRDefault="005E5418" w:rsidP="005E5418">
            <w:pPr>
              <w:pStyle w:val="TableParagraph"/>
              <w:jc w:val="center"/>
            </w:pPr>
            <w:r w:rsidRPr="005E5418">
              <w:t>4</w:t>
            </w:r>
          </w:p>
        </w:tc>
        <w:tc>
          <w:tcPr>
            <w:tcW w:w="704" w:type="dxa"/>
            <w:vAlign w:val="center"/>
          </w:tcPr>
          <w:p w14:paraId="56ADC165" w14:textId="77777777" w:rsidR="005E5418" w:rsidRPr="00F72248" w:rsidRDefault="005E5418" w:rsidP="005E5418">
            <w:pPr>
              <w:pStyle w:val="TableParagraph"/>
              <w:jc w:val="center"/>
            </w:pPr>
            <w:r w:rsidRPr="005E5418">
              <w:t>6%</w:t>
            </w:r>
          </w:p>
        </w:tc>
        <w:tc>
          <w:tcPr>
            <w:tcW w:w="614" w:type="dxa"/>
            <w:vAlign w:val="center"/>
          </w:tcPr>
          <w:p w14:paraId="62E12285" w14:textId="77777777" w:rsidR="005E5418" w:rsidRPr="00F72248" w:rsidRDefault="005E5418" w:rsidP="005E5418">
            <w:pPr>
              <w:pStyle w:val="TableParagraph"/>
              <w:jc w:val="center"/>
            </w:pPr>
            <w:r w:rsidRPr="005E5418">
              <w:t>4</w:t>
            </w:r>
          </w:p>
        </w:tc>
        <w:tc>
          <w:tcPr>
            <w:tcW w:w="704" w:type="dxa"/>
            <w:vAlign w:val="center"/>
          </w:tcPr>
          <w:p w14:paraId="71F6388E" w14:textId="77777777" w:rsidR="005E5418" w:rsidRPr="00F72248" w:rsidRDefault="005E5418" w:rsidP="005E5418">
            <w:pPr>
              <w:pStyle w:val="TableParagraph"/>
              <w:jc w:val="center"/>
            </w:pPr>
            <w:r w:rsidRPr="005E5418">
              <w:t>19%</w:t>
            </w:r>
          </w:p>
        </w:tc>
        <w:tc>
          <w:tcPr>
            <w:tcW w:w="614" w:type="dxa"/>
            <w:vAlign w:val="center"/>
          </w:tcPr>
          <w:p w14:paraId="0DE4A38A" w14:textId="77777777" w:rsidR="005E5418" w:rsidRPr="00F72248" w:rsidRDefault="005E5418" w:rsidP="005E5418">
            <w:pPr>
              <w:pStyle w:val="TableParagraph"/>
              <w:jc w:val="center"/>
            </w:pPr>
            <w:r w:rsidRPr="005E5418">
              <w:t>2</w:t>
            </w:r>
          </w:p>
        </w:tc>
        <w:tc>
          <w:tcPr>
            <w:tcW w:w="704" w:type="dxa"/>
            <w:vAlign w:val="center"/>
          </w:tcPr>
          <w:p w14:paraId="176293AB" w14:textId="77777777" w:rsidR="005E5418" w:rsidRPr="00F72248" w:rsidRDefault="005E5418" w:rsidP="005E5418">
            <w:pPr>
              <w:pStyle w:val="TableParagraph"/>
              <w:jc w:val="center"/>
            </w:pPr>
            <w:r w:rsidRPr="005E5418">
              <w:t>33%</w:t>
            </w:r>
          </w:p>
        </w:tc>
        <w:tc>
          <w:tcPr>
            <w:tcW w:w="626" w:type="dxa"/>
            <w:vAlign w:val="center"/>
          </w:tcPr>
          <w:p w14:paraId="3BC7B2E1" w14:textId="77777777" w:rsidR="005E5418" w:rsidRPr="00F72248" w:rsidRDefault="005E5418" w:rsidP="005E5418">
            <w:pPr>
              <w:pStyle w:val="TableParagraph"/>
              <w:jc w:val="center"/>
            </w:pPr>
            <w:r w:rsidRPr="005E5418">
              <w:t>1</w:t>
            </w:r>
          </w:p>
        </w:tc>
        <w:tc>
          <w:tcPr>
            <w:tcW w:w="704" w:type="dxa"/>
            <w:vAlign w:val="center"/>
          </w:tcPr>
          <w:p w14:paraId="77263E92" w14:textId="77777777" w:rsidR="005E5418" w:rsidRPr="00F72248" w:rsidRDefault="005E5418" w:rsidP="005E5418">
            <w:pPr>
              <w:pStyle w:val="TableParagraph"/>
              <w:jc w:val="center"/>
            </w:pPr>
            <w:r w:rsidRPr="005E5418">
              <w:t>5%</w:t>
            </w:r>
          </w:p>
        </w:tc>
        <w:tc>
          <w:tcPr>
            <w:tcW w:w="615" w:type="dxa"/>
            <w:vAlign w:val="center"/>
          </w:tcPr>
          <w:p w14:paraId="113B6945" w14:textId="77777777" w:rsidR="005E5418" w:rsidRPr="00F72248" w:rsidRDefault="005E5418" w:rsidP="005E5418">
            <w:pPr>
              <w:pStyle w:val="TableParagraph"/>
              <w:jc w:val="center"/>
            </w:pPr>
            <w:r w:rsidRPr="005E5418">
              <w:t>1</w:t>
            </w:r>
          </w:p>
        </w:tc>
        <w:tc>
          <w:tcPr>
            <w:tcW w:w="618" w:type="dxa"/>
            <w:vAlign w:val="center"/>
          </w:tcPr>
          <w:p w14:paraId="2F4223DB" w14:textId="77777777" w:rsidR="005E5418" w:rsidRPr="00F72248" w:rsidRDefault="005E5418" w:rsidP="005E5418">
            <w:pPr>
              <w:pStyle w:val="TableParagraph"/>
              <w:jc w:val="center"/>
            </w:pPr>
            <w:r w:rsidRPr="005E5418">
              <w:t>5%</w:t>
            </w:r>
          </w:p>
        </w:tc>
        <w:tc>
          <w:tcPr>
            <w:tcW w:w="623" w:type="dxa"/>
            <w:vAlign w:val="center"/>
          </w:tcPr>
          <w:p w14:paraId="17664D58" w14:textId="77777777" w:rsidR="005E5418" w:rsidRPr="009E4F9C" w:rsidRDefault="005E5418" w:rsidP="005E5418">
            <w:pPr>
              <w:pStyle w:val="TableParagraph"/>
              <w:jc w:val="center"/>
            </w:pPr>
            <w:r w:rsidRPr="009E4F9C">
              <w:t>12</w:t>
            </w:r>
          </w:p>
        </w:tc>
        <w:tc>
          <w:tcPr>
            <w:tcW w:w="641" w:type="dxa"/>
            <w:vAlign w:val="center"/>
          </w:tcPr>
          <w:p w14:paraId="4AB1F911" w14:textId="77777777" w:rsidR="005E5418" w:rsidRPr="009E4F9C" w:rsidRDefault="005E5418" w:rsidP="005E5418">
            <w:pPr>
              <w:pStyle w:val="TableParagraph"/>
              <w:jc w:val="center"/>
            </w:pPr>
            <w:r w:rsidRPr="009E4F9C">
              <w:t>9%</w:t>
            </w:r>
          </w:p>
        </w:tc>
      </w:tr>
      <w:tr w:rsidR="005E5418" w:rsidRPr="00742604" w14:paraId="7F963851" w14:textId="77777777" w:rsidTr="005E5418">
        <w:trPr>
          <w:cnfStyle w:val="000000010000" w:firstRow="0" w:lastRow="0" w:firstColumn="0" w:lastColumn="0" w:oddVBand="0" w:evenVBand="0" w:oddHBand="0" w:evenHBand="1" w:firstRowFirstColumn="0" w:firstRowLastColumn="0" w:lastRowFirstColumn="0" w:lastRowLastColumn="0"/>
        </w:trPr>
        <w:tc>
          <w:tcPr>
            <w:tcW w:w="1977" w:type="dxa"/>
          </w:tcPr>
          <w:p w14:paraId="0B5ACE9E" w14:textId="77777777" w:rsidR="005E5418" w:rsidRPr="00E07CE2" w:rsidRDefault="005E5418" w:rsidP="005E5418">
            <w:pPr>
              <w:pStyle w:val="TableParagraph"/>
            </w:pPr>
            <w:r>
              <w:t xml:space="preserve">Contact with </w:t>
            </w:r>
            <w:r w:rsidRPr="00E07CE2">
              <w:t>Mental Health support in the community</w:t>
            </w:r>
          </w:p>
        </w:tc>
        <w:tc>
          <w:tcPr>
            <w:tcW w:w="625" w:type="dxa"/>
            <w:vAlign w:val="center"/>
          </w:tcPr>
          <w:p w14:paraId="35B54749" w14:textId="77777777" w:rsidR="005E5418" w:rsidRPr="00A07033" w:rsidRDefault="005E5418" w:rsidP="005E5418">
            <w:pPr>
              <w:pStyle w:val="TableParagraph"/>
              <w:jc w:val="center"/>
            </w:pPr>
            <w:r w:rsidRPr="005E5418">
              <w:t>3</w:t>
            </w:r>
          </w:p>
        </w:tc>
        <w:tc>
          <w:tcPr>
            <w:tcW w:w="704" w:type="dxa"/>
            <w:vAlign w:val="center"/>
          </w:tcPr>
          <w:p w14:paraId="067C84BA" w14:textId="77777777" w:rsidR="005E5418" w:rsidRPr="00A07033" w:rsidRDefault="005E5418" w:rsidP="005E5418">
            <w:pPr>
              <w:pStyle w:val="TableParagraph"/>
              <w:jc w:val="center"/>
            </w:pPr>
            <w:r w:rsidRPr="005E5418">
              <w:t>4%</w:t>
            </w:r>
          </w:p>
        </w:tc>
        <w:tc>
          <w:tcPr>
            <w:tcW w:w="614" w:type="dxa"/>
            <w:vAlign w:val="center"/>
          </w:tcPr>
          <w:p w14:paraId="71FC98CD" w14:textId="77777777" w:rsidR="005E5418" w:rsidRPr="00A07033" w:rsidRDefault="005E5418" w:rsidP="005E5418">
            <w:pPr>
              <w:pStyle w:val="TableParagraph"/>
              <w:jc w:val="center"/>
            </w:pPr>
            <w:r w:rsidRPr="005E5418">
              <w:t>1</w:t>
            </w:r>
          </w:p>
        </w:tc>
        <w:tc>
          <w:tcPr>
            <w:tcW w:w="704" w:type="dxa"/>
            <w:vAlign w:val="center"/>
          </w:tcPr>
          <w:p w14:paraId="027EEA63" w14:textId="77777777" w:rsidR="005E5418" w:rsidRPr="00A07033" w:rsidRDefault="005E5418" w:rsidP="005E5418">
            <w:pPr>
              <w:pStyle w:val="TableParagraph"/>
              <w:jc w:val="center"/>
            </w:pPr>
            <w:r w:rsidRPr="005E5418">
              <w:t>5%</w:t>
            </w:r>
          </w:p>
        </w:tc>
        <w:tc>
          <w:tcPr>
            <w:tcW w:w="614" w:type="dxa"/>
            <w:vAlign w:val="center"/>
          </w:tcPr>
          <w:p w14:paraId="59F27975" w14:textId="77777777" w:rsidR="005E5418" w:rsidRPr="00A07033" w:rsidRDefault="005E5418" w:rsidP="005E5418">
            <w:pPr>
              <w:pStyle w:val="TableParagraph"/>
              <w:jc w:val="center"/>
            </w:pPr>
            <w:r w:rsidRPr="005E5418">
              <w:t>1</w:t>
            </w:r>
          </w:p>
        </w:tc>
        <w:tc>
          <w:tcPr>
            <w:tcW w:w="704" w:type="dxa"/>
            <w:vAlign w:val="center"/>
          </w:tcPr>
          <w:p w14:paraId="462A5EC3" w14:textId="77777777" w:rsidR="005E5418" w:rsidRPr="00A07033" w:rsidRDefault="005E5418" w:rsidP="005E5418">
            <w:pPr>
              <w:pStyle w:val="TableParagraph"/>
              <w:jc w:val="center"/>
            </w:pPr>
            <w:r w:rsidRPr="005E5418">
              <w:t>17%</w:t>
            </w:r>
          </w:p>
        </w:tc>
        <w:tc>
          <w:tcPr>
            <w:tcW w:w="626" w:type="dxa"/>
            <w:vAlign w:val="center"/>
          </w:tcPr>
          <w:p w14:paraId="628246D7" w14:textId="77777777" w:rsidR="005E5418" w:rsidRPr="00A07033" w:rsidRDefault="005E5418" w:rsidP="005E5418">
            <w:pPr>
              <w:pStyle w:val="TableParagraph"/>
              <w:jc w:val="center"/>
            </w:pPr>
            <w:r w:rsidRPr="005E5418">
              <w:t>1</w:t>
            </w:r>
          </w:p>
        </w:tc>
        <w:tc>
          <w:tcPr>
            <w:tcW w:w="704" w:type="dxa"/>
            <w:vAlign w:val="center"/>
          </w:tcPr>
          <w:p w14:paraId="3AE48471" w14:textId="77777777" w:rsidR="005E5418" w:rsidRPr="00A07033" w:rsidRDefault="005E5418" w:rsidP="005E5418">
            <w:pPr>
              <w:pStyle w:val="TableParagraph"/>
              <w:jc w:val="center"/>
            </w:pPr>
            <w:r w:rsidRPr="005E5418">
              <w:t>5%</w:t>
            </w:r>
          </w:p>
        </w:tc>
        <w:tc>
          <w:tcPr>
            <w:tcW w:w="615" w:type="dxa"/>
            <w:vAlign w:val="center"/>
          </w:tcPr>
          <w:p w14:paraId="6BB9B0D3" w14:textId="77777777" w:rsidR="005E5418" w:rsidRPr="00A07033" w:rsidRDefault="005E5418" w:rsidP="005E5418">
            <w:pPr>
              <w:pStyle w:val="TableParagraph"/>
              <w:jc w:val="center"/>
            </w:pPr>
            <w:r w:rsidRPr="005E5418">
              <w:t>3</w:t>
            </w:r>
          </w:p>
        </w:tc>
        <w:tc>
          <w:tcPr>
            <w:tcW w:w="618" w:type="dxa"/>
            <w:vAlign w:val="center"/>
          </w:tcPr>
          <w:p w14:paraId="4DC17D52" w14:textId="77777777" w:rsidR="005E5418" w:rsidRPr="00A07033" w:rsidRDefault="005E5418" w:rsidP="005E5418">
            <w:pPr>
              <w:pStyle w:val="TableParagraph"/>
              <w:jc w:val="center"/>
            </w:pPr>
            <w:r w:rsidRPr="005E5418">
              <w:t>14%</w:t>
            </w:r>
          </w:p>
        </w:tc>
        <w:tc>
          <w:tcPr>
            <w:tcW w:w="623" w:type="dxa"/>
            <w:vAlign w:val="center"/>
          </w:tcPr>
          <w:p w14:paraId="12F19792" w14:textId="77777777" w:rsidR="005E5418" w:rsidRPr="009E4F9C" w:rsidRDefault="005E5418" w:rsidP="005E5418">
            <w:pPr>
              <w:pStyle w:val="TableParagraph"/>
              <w:jc w:val="center"/>
            </w:pPr>
            <w:r w:rsidRPr="009E4F9C">
              <w:t>9</w:t>
            </w:r>
          </w:p>
        </w:tc>
        <w:tc>
          <w:tcPr>
            <w:tcW w:w="641" w:type="dxa"/>
            <w:vAlign w:val="center"/>
          </w:tcPr>
          <w:p w14:paraId="59507B47" w14:textId="77777777" w:rsidR="005E5418" w:rsidRPr="009E4F9C" w:rsidRDefault="005E5418" w:rsidP="005E5418">
            <w:pPr>
              <w:pStyle w:val="TableParagraph"/>
              <w:jc w:val="center"/>
            </w:pPr>
            <w:r w:rsidRPr="009E4F9C">
              <w:t>7%</w:t>
            </w:r>
          </w:p>
        </w:tc>
      </w:tr>
    </w:tbl>
    <w:p w14:paraId="40FB8059" w14:textId="77777777" w:rsidR="00D12D6E" w:rsidRDefault="00E80423" w:rsidP="00E80423">
      <w:pPr>
        <w:pStyle w:val="Quote"/>
      </w:pPr>
      <w:r>
        <w:t xml:space="preserve">Source: </w:t>
      </w:r>
      <w:r w:rsidRPr="00E80423">
        <w:t>RSM PACEC Survey</w:t>
      </w:r>
      <w:r>
        <w:t xml:space="preserve"> of Social Prescribing Service Users</w:t>
      </w:r>
      <w:r w:rsidRPr="00E80423">
        <w:t xml:space="preserve"> (2017)</w:t>
      </w:r>
    </w:p>
    <w:p w14:paraId="17345B86" w14:textId="77777777" w:rsidR="00C70808" w:rsidRDefault="00C70808" w:rsidP="00AE785D">
      <w:pPr>
        <w:pStyle w:val="BodyText-parastyle"/>
      </w:pPr>
    </w:p>
    <w:p w14:paraId="268815D6" w14:textId="77777777" w:rsidR="00C70808" w:rsidRDefault="00C70808" w:rsidP="00AE785D">
      <w:pPr>
        <w:pStyle w:val="BodyText-parastyle"/>
      </w:pPr>
    </w:p>
    <w:p w14:paraId="0B77B92A" w14:textId="046B6180" w:rsidR="00D12D6E" w:rsidRPr="002534BE" w:rsidRDefault="00D12D6E" w:rsidP="00AE785D">
      <w:pPr>
        <w:pStyle w:val="BodyText-parastyle"/>
      </w:pPr>
      <w:r>
        <w:t xml:space="preserve">For </w:t>
      </w:r>
      <w:r w:rsidRPr="002534BE">
        <w:t>primary care services it shows:</w:t>
      </w:r>
    </w:p>
    <w:p w14:paraId="0B074A24" w14:textId="77777777" w:rsidR="00D12D6E" w:rsidRPr="00790975" w:rsidRDefault="00D12D6E" w:rsidP="00D53262">
      <w:pPr>
        <w:pStyle w:val="ListParagraph"/>
      </w:pPr>
      <w:r w:rsidRPr="00790975">
        <w:rPr>
          <w:color w:val="00B0F0"/>
        </w:rPr>
        <w:t xml:space="preserve">GP </w:t>
      </w:r>
      <w:r w:rsidR="00121089">
        <w:rPr>
          <w:color w:val="00B0F0"/>
        </w:rPr>
        <w:t xml:space="preserve">attendance </w:t>
      </w:r>
      <w:r w:rsidRPr="00790975">
        <w:t xml:space="preserve">– </w:t>
      </w:r>
      <w:r w:rsidR="00790975" w:rsidRPr="00790975">
        <w:t>59</w:t>
      </w:r>
      <w:r w:rsidRPr="00790975">
        <w:t>% of respondents (n=</w:t>
      </w:r>
      <w:r w:rsidR="00790975" w:rsidRPr="00790975">
        <w:t>74</w:t>
      </w:r>
      <w:r w:rsidRPr="00790975">
        <w:t xml:space="preserve">) reported a reduction in the number of </w:t>
      </w:r>
      <w:r w:rsidR="00121089">
        <w:t>hours spent with their GP and overall the number of reported GP hours reduced by 78.34</w:t>
      </w:r>
      <w:r w:rsidR="00FE3FF9">
        <w:t xml:space="preserve"> hours</w:t>
      </w:r>
    </w:p>
    <w:p w14:paraId="31B3FE4D" w14:textId="77777777" w:rsidR="00D12D6E" w:rsidRPr="00790975" w:rsidRDefault="00D12D6E" w:rsidP="00D53262">
      <w:pPr>
        <w:pStyle w:val="ListParagraph"/>
      </w:pPr>
      <w:r w:rsidRPr="00790975">
        <w:rPr>
          <w:color w:val="00B0F0"/>
        </w:rPr>
        <w:t xml:space="preserve">Prescriptions received </w:t>
      </w:r>
      <w:r w:rsidRPr="00790975">
        <w:t xml:space="preserve">– </w:t>
      </w:r>
      <w:r w:rsidR="00790975" w:rsidRPr="00790975">
        <w:t>34</w:t>
      </w:r>
      <w:r w:rsidRPr="00790975">
        <w:t>% (n=</w:t>
      </w:r>
      <w:r w:rsidR="00790975" w:rsidRPr="00790975">
        <w:t>46</w:t>
      </w:r>
      <w:r w:rsidRPr="00790975">
        <w:t xml:space="preserve">) reported a reduction in the number in the number of prescriptions received </w:t>
      </w:r>
      <w:r w:rsidR="00121089">
        <w:t>and overall the number of reported prescriptions reduced by 138</w:t>
      </w:r>
      <w:r w:rsidR="00FE3FF9">
        <w:t xml:space="preserve"> prescriptions</w:t>
      </w:r>
    </w:p>
    <w:p w14:paraId="612FA4CA" w14:textId="77777777" w:rsidR="00D12D6E" w:rsidRPr="00790975" w:rsidRDefault="00D12D6E" w:rsidP="00D53262">
      <w:pPr>
        <w:pStyle w:val="ListParagraph"/>
      </w:pPr>
      <w:r w:rsidRPr="00790975">
        <w:rPr>
          <w:color w:val="00B0F0"/>
        </w:rPr>
        <w:t xml:space="preserve">Counselling services </w:t>
      </w:r>
      <w:r w:rsidRPr="00790975">
        <w:t xml:space="preserve">– </w:t>
      </w:r>
      <w:r w:rsidR="00790975" w:rsidRPr="00790975">
        <w:t>9</w:t>
      </w:r>
      <w:r w:rsidRPr="00790975">
        <w:t>% (n=1</w:t>
      </w:r>
      <w:r w:rsidR="00790975" w:rsidRPr="00790975">
        <w:t>2</w:t>
      </w:r>
      <w:r w:rsidRPr="00790975">
        <w:t>) reported a reduction in in the number of hours of counselling support received</w:t>
      </w:r>
      <w:r w:rsidR="00121089">
        <w:t xml:space="preserve"> however overall the number of hours of counselling received increased by 44.75 hours</w:t>
      </w:r>
    </w:p>
    <w:p w14:paraId="7BD1CAE5" w14:textId="77777777" w:rsidR="002C6441" w:rsidRDefault="00D12D6E" w:rsidP="00D53262">
      <w:pPr>
        <w:pStyle w:val="ListParagraph"/>
      </w:pPr>
      <w:r w:rsidRPr="002C6441">
        <w:rPr>
          <w:color w:val="00B0F0"/>
        </w:rPr>
        <w:t xml:space="preserve">Mental health services in the community </w:t>
      </w:r>
      <w:r w:rsidR="00BC12E5">
        <w:t xml:space="preserve">– </w:t>
      </w:r>
      <w:r w:rsidR="00790975" w:rsidRPr="00790975">
        <w:t>7</w:t>
      </w:r>
      <w:r w:rsidRPr="00790975">
        <w:t>% (n=</w:t>
      </w:r>
      <w:r w:rsidR="00790975" w:rsidRPr="00790975">
        <w:t>9</w:t>
      </w:r>
      <w:r w:rsidRPr="00790975">
        <w:t xml:space="preserve">) reported a reduction in the number </w:t>
      </w:r>
      <w:r w:rsidR="002C6441">
        <w:t>of</w:t>
      </w:r>
      <w:r w:rsidRPr="00790975">
        <w:t xml:space="preserve"> t</w:t>
      </w:r>
      <w:r w:rsidR="00790975" w:rsidRPr="00790975">
        <w:t>he times they received support</w:t>
      </w:r>
      <w:r w:rsidR="00121089">
        <w:t xml:space="preserve"> however overall the number of times respondents attended mental health services in the community increased by 96</w:t>
      </w:r>
      <w:r w:rsidR="00FE3FF9">
        <w:t xml:space="preserve"> </w:t>
      </w:r>
      <w:r w:rsidR="002C6441">
        <w:t>instances</w:t>
      </w:r>
      <w:r w:rsidR="00BC12E5">
        <w:t xml:space="preserve">. This could potentially be because the projects </w:t>
      </w:r>
      <w:r w:rsidR="002C6441">
        <w:t>are uncovering unmet mental health needs and referring to mental health services, however this was not specified in the survey responses.</w:t>
      </w:r>
    </w:p>
    <w:p w14:paraId="3A61BA83" w14:textId="77777777" w:rsidR="00D12D6E" w:rsidRDefault="00D12D6E" w:rsidP="002C6441">
      <w:pPr>
        <w:pStyle w:val="BodyText-italics"/>
      </w:pPr>
      <w:r w:rsidRPr="00790975">
        <w:t xml:space="preserve">Due to the small number of respondents the findings above are not representative or statistically significant. The value of the outcome changes above are recorded in </w:t>
      </w:r>
      <w:r w:rsidRPr="00375A26">
        <w:t xml:space="preserve">section </w:t>
      </w:r>
      <w:r w:rsidR="003702C8">
        <w:t>8</w:t>
      </w:r>
      <w:r w:rsidRPr="00375A26">
        <w:t>.</w:t>
      </w:r>
    </w:p>
    <w:p w14:paraId="523D0F3A" w14:textId="77777777" w:rsidR="00D12D6E" w:rsidRDefault="00D12D6E" w:rsidP="00D465F1">
      <w:pPr>
        <w:pStyle w:val="Heading3"/>
      </w:pPr>
      <w:r>
        <w:t xml:space="preserve">Secondary </w:t>
      </w:r>
      <w:r w:rsidR="002C6441">
        <w:t xml:space="preserve">Care </w:t>
      </w:r>
      <w:r>
        <w:t>Outcomes</w:t>
      </w:r>
    </w:p>
    <w:p w14:paraId="0B7E0388" w14:textId="77777777" w:rsidR="00D12D6E" w:rsidRDefault="00D12D6E" w:rsidP="00AE785D">
      <w:pPr>
        <w:pStyle w:val="BodyText-parastyle"/>
      </w:pPr>
      <w:r>
        <w:t xml:space="preserve">Table </w:t>
      </w:r>
      <w:r w:rsidR="004B7FF5">
        <w:t>6</w:t>
      </w:r>
      <w:r w:rsidR="00CF5B58">
        <w:t>.6</w:t>
      </w:r>
      <w:r>
        <w:t xml:space="preserve"> provides an overview of respondent’s reported use of secondary care services over a 3 month period.</w:t>
      </w:r>
    </w:p>
    <w:p w14:paraId="7C5A3B9D" w14:textId="77777777" w:rsidR="00AD0525" w:rsidRDefault="00D12D6E"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6</w:t>
      </w:r>
      <w:r w:rsidR="00603E87">
        <w:fldChar w:fldCharType="end"/>
      </w:r>
      <w:r>
        <w:t>: Change in use of secondary care services</w:t>
      </w:r>
      <w:r w:rsidRPr="006012CC">
        <w:t xml:space="preserve"> </w:t>
      </w:r>
      <w:r>
        <w:t>(over a 3 month period; n=</w:t>
      </w:r>
      <w:r w:rsidR="00A16768">
        <w:t>136</w:t>
      </w:r>
      <w:r w:rsidR="005E5418">
        <w:t>)</w:t>
      </w:r>
    </w:p>
    <w:tbl>
      <w:tblPr>
        <w:tblStyle w:val="ForfasTableGrid1"/>
        <w:tblW w:w="9634" w:type="dxa"/>
        <w:tblLook w:val="04A0" w:firstRow="1" w:lastRow="0" w:firstColumn="1" w:lastColumn="0" w:noHBand="0" w:noVBand="1"/>
      </w:tblPr>
      <w:tblGrid>
        <w:gridCol w:w="1929"/>
        <w:gridCol w:w="618"/>
        <w:gridCol w:w="697"/>
        <w:gridCol w:w="598"/>
        <w:gridCol w:w="692"/>
        <w:gridCol w:w="592"/>
        <w:gridCol w:w="689"/>
        <w:gridCol w:w="616"/>
        <w:gridCol w:w="699"/>
        <w:gridCol w:w="592"/>
        <w:gridCol w:w="689"/>
        <w:gridCol w:w="606"/>
        <w:gridCol w:w="617"/>
      </w:tblGrid>
      <w:tr w:rsidR="009E4F9C" w:rsidRPr="00742604" w14:paraId="538D8F40" w14:textId="77777777" w:rsidTr="00E80423">
        <w:trPr>
          <w:cnfStyle w:val="100000000000" w:firstRow="1" w:lastRow="0" w:firstColumn="0" w:lastColumn="0" w:oddVBand="0" w:evenVBand="0" w:oddHBand="0" w:evenHBand="0" w:firstRowFirstColumn="0" w:firstRowLastColumn="0" w:lastRowFirstColumn="0" w:lastRowLastColumn="0"/>
          <w:tblHeader/>
        </w:trPr>
        <w:tc>
          <w:tcPr>
            <w:tcW w:w="1929" w:type="dxa"/>
            <w:vMerge w:val="restart"/>
          </w:tcPr>
          <w:p w14:paraId="2CADF39E" w14:textId="77777777" w:rsidR="00AD0525" w:rsidRPr="00742604" w:rsidRDefault="00AD0525" w:rsidP="00C70808">
            <w:pPr>
              <w:pStyle w:val="TableHeading"/>
              <w:spacing w:after="0"/>
            </w:pPr>
          </w:p>
        </w:tc>
        <w:tc>
          <w:tcPr>
            <w:tcW w:w="1315" w:type="dxa"/>
            <w:gridSpan w:val="2"/>
          </w:tcPr>
          <w:p w14:paraId="2867B85C" w14:textId="77777777" w:rsidR="00AD0525" w:rsidRPr="00742604" w:rsidRDefault="00AD0525" w:rsidP="00C70808">
            <w:pPr>
              <w:pStyle w:val="TableHeading"/>
              <w:spacing w:after="0"/>
            </w:pPr>
            <w:r>
              <w:t xml:space="preserve">Basildon and Brentwood </w:t>
            </w:r>
          </w:p>
        </w:tc>
        <w:tc>
          <w:tcPr>
            <w:tcW w:w="1290" w:type="dxa"/>
            <w:gridSpan w:val="2"/>
          </w:tcPr>
          <w:p w14:paraId="2E187199" w14:textId="77777777" w:rsidR="00AD0525" w:rsidRDefault="00AD0525" w:rsidP="00C70808">
            <w:pPr>
              <w:pStyle w:val="TableHeading"/>
              <w:spacing w:after="0"/>
            </w:pPr>
            <w:r>
              <w:t>Castle Point and Rochford</w:t>
            </w:r>
          </w:p>
        </w:tc>
        <w:tc>
          <w:tcPr>
            <w:tcW w:w="1281" w:type="dxa"/>
            <w:gridSpan w:val="2"/>
          </w:tcPr>
          <w:p w14:paraId="7ACABBB1" w14:textId="77777777" w:rsidR="00AD0525" w:rsidRDefault="00AD0525" w:rsidP="00C70808">
            <w:pPr>
              <w:pStyle w:val="TableHeading"/>
              <w:spacing w:after="0"/>
            </w:pPr>
            <w:r>
              <w:t>Mid Essex</w:t>
            </w:r>
          </w:p>
        </w:tc>
        <w:tc>
          <w:tcPr>
            <w:tcW w:w="1315" w:type="dxa"/>
            <w:gridSpan w:val="2"/>
          </w:tcPr>
          <w:p w14:paraId="4E8F6F95" w14:textId="77777777" w:rsidR="00AD0525" w:rsidRDefault="00AD0525" w:rsidP="00C70808">
            <w:pPr>
              <w:pStyle w:val="TableHeading"/>
              <w:spacing w:after="0"/>
            </w:pPr>
            <w:r>
              <w:t xml:space="preserve">Colchester </w:t>
            </w:r>
          </w:p>
        </w:tc>
        <w:tc>
          <w:tcPr>
            <w:tcW w:w="1281" w:type="dxa"/>
            <w:gridSpan w:val="2"/>
          </w:tcPr>
          <w:p w14:paraId="6FB891C0" w14:textId="77777777" w:rsidR="00AD0525" w:rsidRDefault="00AD0525" w:rsidP="00C70808">
            <w:pPr>
              <w:pStyle w:val="TableHeading"/>
              <w:spacing w:after="0"/>
            </w:pPr>
            <w:r>
              <w:t xml:space="preserve">West Essex </w:t>
            </w:r>
          </w:p>
        </w:tc>
        <w:tc>
          <w:tcPr>
            <w:tcW w:w="1223" w:type="dxa"/>
            <w:gridSpan w:val="2"/>
          </w:tcPr>
          <w:p w14:paraId="16BC5ECD" w14:textId="77777777" w:rsidR="00AD0525" w:rsidRDefault="00AD0525" w:rsidP="00C70808">
            <w:pPr>
              <w:pStyle w:val="TableHeading"/>
              <w:spacing w:after="0"/>
            </w:pPr>
            <w:r>
              <w:t>Total</w:t>
            </w:r>
          </w:p>
        </w:tc>
      </w:tr>
      <w:tr w:rsidR="00636368" w:rsidRPr="00742604" w14:paraId="3CE1253F" w14:textId="77777777" w:rsidTr="00E80423">
        <w:trPr>
          <w:cnfStyle w:val="100000000000" w:firstRow="1" w:lastRow="0" w:firstColumn="0" w:lastColumn="0" w:oddVBand="0" w:evenVBand="0" w:oddHBand="0" w:evenHBand="0" w:firstRowFirstColumn="0" w:firstRowLastColumn="0" w:lastRowFirstColumn="0" w:lastRowLastColumn="0"/>
          <w:tblHeader/>
        </w:trPr>
        <w:tc>
          <w:tcPr>
            <w:tcW w:w="1929" w:type="dxa"/>
            <w:vMerge/>
          </w:tcPr>
          <w:p w14:paraId="78BD6D9A" w14:textId="77777777" w:rsidR="00AD0525" w:rsidRPr="00E07CE2" w:rsidRDefault="00AD0525" w:rsidP="00C70808">
            <w:pPr>
              <w:spacing w:after="0"/>
            </w:pPr>
          </w:p>
        </w:tc>
        <w:tc>
          <w:tcPr>
            <w:tcW w:w="618" w:type="dxa"/>
          </w:tcPr>
          <w:p w14:paraId="1622A79B" w14:textId="77777777" w:rsidR="00AD0525" w:rsidRDefault="00AD0525" w:rsidP="00C70808">
            <w:pPr>
              <w:pStyle w:val="TableHeading"/>
              <w:spacing w:after="0"/>
            </w:pPr>
            <w:r>
              <w:t>N</w:t>
            </w:r>
          </w:p>
        </w:tc>
        <w:tc>
          <w:tcPr>
            <w:tcW w:w="697" w:type="dxa"/>
          </w:tcPr>
          <w:p w14:paraId="4A84A61F" w14:textId="77777777" w:rsidR="00AD0525" w:rsidRDefault="00AD0525" w:rsidP="00C70808">
            <w:pPr>
              <w:pStyle w:val="TableHeading"/>
              <w:spacing w:after="0"/>
            </w:pPr>
            <w:r>
              <w:t>%</w:t>
            </w:r>
          </w:p>
        </w:tc>
        <w:tc>
          <w:tcPr>
            <w:tcW w:w="598" w:type="dxa"/>
          </w:tcPr>
          <w:p w14:paraId="5DE5D1AB" w14:textId="77777777" w:rsidR="00AD0525" w:rsidRDefault="00AD0525" w:rsidP="00C70808">
            <w:pPr>
              <w:pStyle w:val="TableHeading"/>
              <w:spacing w:after="0"/>
            </w:pPr>
            <w:r>
              <w:t>N</w:t>
            </w:r>
          </w:p>
        </w:tc>
        <w:tc>
          <w:tcPr>
            <w:tcW w:w="692" w:type="dxa"/>
          </w:tcPr>
          <w:p w14:paraId="54A9883A" w14:textId="77777777" w:rsidR="00AD0525" w:rsidRDefault="00AD0525" w:rsidP="00C70808">
            <w:pPr>
              <w:pStyle w:val="TableHeading"/>
              <w:spacing w:after="0"/>
            </w:pPr>
            <w:r>
              <w:t>%</w:t>
            </w:r>
          </w:p>
        </w:tc>
        <w:tc>
          <w:tcPr>
            <w:tcW w:w="592" w:type="dxa"/>
          </w:tcPr>
          <w:p w14:paraId="06DC039F" w14:textId="77777777" w:rsidR="00AD0525" w:rsidRDefault="00AD0525" w:rsidP="00C70808">
            <w:pPr>
              <w:pStyle w:val="TableHeading"/>
              <w:spacing w:after="0"/>
            </w:pPr>
            <w:r>
              <w:t>N</w:t>
            </w:r>
          </w:p>
        </w:tc>
        <w:tc>
          <w:tcPr>
            <w:tcW w:w="689" w:type="dxa"/>
          </w:tcPr>
          <w:p w14:paraId="4183A97A" w14:textId="77777777" w:rsidR="00AD0525" w:rsidRDefault="00AD0525" w:rsidP="00C70808">
            <w:pPr>
              <w:pStyle w:val="TableHeading"/>
              <w:spacing w:after="0"/>
            </w:pPr>
            <w:r>
              <w:t>%</w:t>
            </w:r>
          </w:p>
        </w:tc>
        <w:tc>
          <w:tcPr>
            <w:tcW w:w="616" w:type="dxa"/>
          </w:tcPr>
          <w:p w14:paraId="7309886E" w14:textId="77777777" w:rsidR="00AD0525" w:rsidRDefault="00AD0525" w:rsidP="00C70808">
            <w:pPr>
              <w:pStyle w:val="TableHeading"/>
              <w:spacing w:after="0"/>
            </w:pPr>
            <w:r>
              <w:t>N</w:t>
            </w:r>
          </w:p>
        </w:tc>
        <w:tc>
          <w:tcPr>
            <w:tcW w:w="699" w:type="dxa"/>
          </w:tcPr>
          <w:p w14:paraId="4FC3DF5E" w14:textId="77777777" w:rsidR="00AD0525" w:rsidRDefault="00AD0525" w:rsidP="00C70808">
            <w:pPr>
              <w:pStyle w:val="TableHeading"/>
              <w:spacing w:after="0"/>
            </w:pPr>
            <w:r>
              <w:t>%</w:t>
            </w:r>
          </w:p>
        </w:tc>
        <w:tc>
          <w:tcPr>
            <w:tcW w:w="592" w:type="dxa"/>
          </w:tcPr>
          <w:p w14:paraId="285CF949" w14:textId="77777777" w:rsidR="00AD0525" w:rsidRDefault="00AD0525" w:rsidP="00C70808">
            <w:pPr>
              <w:pStyle w:val="TableHeading"/>
              <w:spacing w:after="0"/>
            </w:pPr>
            <w:r>
              <w:t>N</w:t>
            </w:r>
          </w:p>
        </w:tc>
        <w:tc>
          <w:tcPr>
            <w:tcW w:w="689" w:type="dxa"/>
          </w:tcPr>
          <w:p w14:paraId="11D41AB9" w14:textId="77777777" w:rsidR="00AD0525" w:rsidRDefault="00AD0525" w:rsidP="00C70808">
            <w:pPr>
              <w:pStyle w:val="TableHeading"/>
              <w:spacing w:after="0"/>
            </w:pPr>
            <w:r>
              <w:t>%</w:t>
            </w:r>
          </w:p>
        </w:tc>
        <w:tc>
          <w:tcPr>
            <w:tcW w:w="606" w:type="dxa"/>
          </w:tcPr>
          <w:p w14:paraId="1111DD56" w14:textId="77777777" w:rsidR="00AD0525" w:rsidRDefault="00AD0525" w:rsidP="00C70808">
            <w:pPr>
              <w:pStyle w:val="TableHeading"/>
              <w:spacing w:after="0"/>
            </w:pPr>
            <w:r>
              <w:t>N</w:t>
            </w:r>
          </w:p>
        </w:tc>
        <w:tc>
          <w:tcPr>
            <w:tcW w:w="617" w:type="dxa"/>
          </w:tcPr>
          <w:p w14:paraId="7564F392" w14:textId="77777777" w:rsidR="00AD0525" w:rsidRDefault="00AD0525" w:rsidP="00C70808">
            <w:pPr>
              <w:pStyle w:val="TableHeading"/>
              <w:spacing w:after="0"/>
            </w:pPr>
            <w:r>
              <w:t>%</w:t>
            </w:r>
          </w:p>
        </w:tc>
      </w:tr>
      <w:tr w:rsidR="00636368" w:rsidRPr="00742604" w14:paraId="1FF8BBFD" w14:textId="77777777" w:rsidTr="00E80423">
        <w:trPr>
          <w:cnfStyle w:val="000000100000" w:firstRow="0" w:lastRow="0" w:firstColumn="0" w:lastColumn="0" w:oddVBand="0" w:evenVBand="0" w:oddHBand="1" w:evenHBand="0" w:firstRowFirstColumn="0" w:firstRowLastColumn="0" w:lastRowFirstColumn="0" w:lastRowLastColumn="0"/>
        </w:trPr>
        <w:tc>
          <w:tcPr>
            <w:tcW w:w="1929" w:type="dxa"/>
          </w:tcPr>
          <w:p w14:paraId="245EA972" w14:textId="77777777" w:rsidR="00636368" w:rsidRPr="00E07CE2" w:rsidRDefault="00636368" w:rsidP="00C70808">
            <w:pPr>
              <w:pStyle w:val="TableParagraph"/>
              <w:spacing w:after="0"/>
            </w:pPr>
            <w:r w:rsidRPr="00E07CE2">
              <w:t>Attendance at A+E</w:t>
            </w:r>
          </w:p>
        </w:tc>
        <w:tc>
          <w:tcPr>
            <w:tcW w:w="618" w:type="dxa"/>
            <w:vAlign w:val="center"/>
          </w:tcPr>
          <w:p w14:paraId="5E973FCC" w14:textId="77777777" w:rsidR="00636368" w:rsidRPr="00A07033" w:rsidRDefault="00636368" w:rsidP="00C70808">
            <w:pPr>
              <w:pStyle w:val="TableParagraph"/>
              <w:spacing w:after="0"/>
              <w:jc w:val="center"/>
            </w:pPr>
            <w:r w:rsidRPr="00636368">
              <w:t>6</w:t>
            </w:r>
          </w:p>
        </w:tc>
        <w:tc>
          <w:tcPr>
            <w:tcW w:w="697" w:type="dxa"/>
            <w:vAlign w:val="center"/>
          </w:tcPr>
          <w:p w14:paraId="6B775697" w14:textId="77777777" w:rsidR="00636368" w:rsidRPr="00A07033" w:rsidRDefault="00636368" w:rsidP="00C70808">
            <w:pPr>
              <w:pStyle w:val="TableParagraph"/>
              <w:spacing w:after="0"/>
              <w:jc w:val="center"/>
            </w:pPr>
            <w:r w:rsidRPr="00636368">
              <w:t>9%</w:t>
            </w:r>
          </w:p>
        </w:tc>
        <w:tc>
          <w:tcPr>
            <w:tcW w:w="598" w:type="dxa"/>
            <w:vAlign w:val="center"/>
          </w:tcPr>
          <w:p w14:paraId="5C41C4C2" w14:textId="77777777" w:rsidR="00636368" w:rsidRPr="00A07033" w:rsidRDefault="00636368" w:rsidP="00C70808">
            <w:pPr>
              <w:pStyle w:val="TableParagraph"/>
              <w:spacing w:after="0"/>
              <w:jc w:val="center"/>
            </w:pPr>
            <w:r w:rsidRPr="00636368">
              <w:t>3</w:t>
            </w:r>
          </w:p>
        </w:tc>
        <w:tc>
          <w:tcPr>
            <w:tcW w:w="692" w:type="dxa"/>
            <w:vAlign w:val="center"/>
          </w:tcPr>
          <w:p w14:paraId="62262183" w14:textId="77777777" w:rsidR="00636368" w:rsidRPr="00A07033" w:rsidRDefault="00636368" w:rsidP="00C70808">
            <w:pPr>
              <w:pStyle w:val="TableParagraph"/>
              <w:spacing w:after="0"/>
              <w:jc w:val="center"/>
            </w:pPr>
            <w:r w:rsidRPr="00636368">
              <w:t>14%</w:t>
            </w:r>
          </w:p>
        </w:tc>
        <w:tc>
          <w:tcPr>
            <w:tcW w:w="592" w:type="dxa"/>
            <w:vAlign w:val="center"/>
          </w:tcPr>
          <w:p w14:paraId="6BE09307" w14:textId="77777777" w:rsidR="00636368" w:rsidRPr="00A07033" w:rsidRDefault="00636368" w:rsidP="00C70808">
            <w:pPr>
              <w:pStyle w:val="TableParagraph"/>
              <w:spacing w:after="0"/>
              <w:jc w:val="center"/>
            </w:pPr>
            <w:r w:rsidRPr="00636368">
              <w:t>0</w:t>
            </w:r>
          </w:p>
        </w:tc>
        <w:tc>
          <w:tcPr>
            <w:tcW w:w="689" w:type="dxa"/>
            <w:vAlign w:val="center"/>
          </w:tcPr>
          <w:p w14:paraId="217557B9" w14:textId="77777777" w:rsidR="00636368" w:rsidRPr="00A07033" w:rsidRDefault="00636368" w:rsidP="00C70808">
            <w:pPr>
              <w:pStyle w:val="TableParagraph"/>
              <w:spacing w:after="0"/>
              <w:jc w:val="center"/>
            </w:pPr>
            <w:r w:rsidRPr="00636368">
              <w:t>0%</w:t>
            </w:r>
          </w:p>
        </w:tc>
        <w:tc>
          <w:tcPr>
            <w:tcW w:w="616" w:type="dxa"/>
            <w:vAlign w:val="center"/>
          </w:tcPr>
          <w:p w14:paraId="2DB32881" w14:textId="77777777" w:rsidR="00636368" w:rsidRPr="00A07033" w:rsidRDefault="00636368" w:rsidP="00C70808">
            <w:pPr>
              <w:pStyle w:val="TableParagraph"/>
              <w:spacing w:after="0"/>
              <w:jc w:val="center"/>
            </w:pPr>
            <w:r w:rsidRPr="00636368">
              <w:t>6</w:t>
            </w:r>
          </w:p>
        </w:tc>
        <w:tc>
          <w:tcPr>
            <w:tcW w:w="699" w:type="dxa"/>
            <w:vAlign w:val="center"/>
          </w:tcPr>
          <w:p w14:paraId="4D259D9A" w14:textId="77777777" w:rsidR="00636368" w:rsidRPr="00A07033" w:rsidRDefault="00636368" w:rsidP="00C70808">
            <w:pPr>
              <w:pStyle w:val="TableParagraph"/>
              <w:spacing w:after="0"/>
              <w:jc w:val="center"/>
            </w:pPr>
            <w:r w:rsidRPr="00636368">
              <w:t>32%</w:t>
            </w:r>
          </w:p>
        </w:tc>
        <w:tc>
          <w:tcPr>
            <w:tcW w:w="592" w:type="dxa"/>
            <w:vAlign w:val="center"/>
          </w:tcPr>
          <w:p w14:paraId="371BF463" w14:textId="77777777" w:rsidR="00636368" w:rsidRPr="00A07033" w:rsidRDefault="00636368" w:rsidP="00C70808">
            <w:pPr>
              <w:pStyle w:val="TableParagraph"/>
              <w:spacing w:after="0"/>
              <w:jc w:val="center"/>
            </w:pPr>
            <w:r w:rsidRPr="00636368">
              <w:t>2</w:t>
            </w:r>
          </w:p>
        </w:tc>
        <w:tc>
          <w:tcPr>
            <w:tcW w:w="689" w:type="dxa"/>
            <w:vAlign w:val="center"/>
          </w:tcPr>
          <w:p w14:paraId="467B52D4" w14:textId="77777777" w:rsidR="00636368" w:rsidRPr="00A07033" w:rsidRDefault="00636368" w:rsidP="00C70808">
            <w:pPr>
              <w:pStyle w:val="TableParagraph"/>
              <w:spacing w:after="0"/>
              <w:jc w:val="center"/>
            </w:pPr>
            <w:r w:rsidRPr="00636368">
              <w:t>10%</w:t>
            </w:r>
          </w:p>
        </w:tc>
        <w:tc>
          <w:tcPr>
            <w:tcW w:w="606" w:type="dxa"/>
            <w:vAlign w:val="center"/>
          </w:tcPr>
          <w:p w14:paraId="04257931" w14:textId="77777777" w:rsidR="00636368" w:rsidRPr="00A07033" w:rsidRDefault="00636368" w:rsidP="00C70808">
            <w:pPr>
              <w:pStyle w:val="TableParagraph"/>
              <w:spacing w:after="0"/>
              <w:jc w:val="center"/>
            </w:pPr>
            <w:r w:rsidRPr="00636368">
              <w:t>17</w:t>
            </w:r>
          </w:p>
        </w:tc>
        <w:tc>
          <w:tcPr>
            <w:tcW w:w="617" w:type="dxa"/>
            <w:vAlign w:val="center"/>
          </w:tcPr>
          <w:p w14:paraId="2CA70F0A" w14:textId="77777777" w:rsidR="00636368" w:rsidRPr="00A07033" w:rsidRDefault="00636368" w:rsidP="00C70808">
            <w:pPr>
              <w:pStyle w:val="TableParagraph"/>
              <w:spacing w:after="0"/>
              <w:jc w:val="center"/>
            </w:pPr>
            <w:r w:rsidRPr="00636368">
              <w:t>13%</w:t>
            </w:r>
          </w:p>
        </w:tc>
      </w:tr>
      <w:tr w:rsidR="00636368" w:rsidRPr="00742604" w14:paraId="1CD707A2" w14:textId="77777777" w:rsidTr="00E80423">
        <w:trPr>
          <w:cnfStyle w:val="000000010000" w:firstRow="0" w:lastRow="0" w:firstColumn="0" w:lastColumn="0" w:oddVBand="0" w:evenVBand="0" w:oddHBand="0" w:evenHBand="1" w:firstRowFirstColumn="0" w:firstRowLastColumn="0" w:lastRowFirstColumn="0" w:lastRowLastColumn="0"/>
        </w:trPr>
        <w:tc>
          <w:tcPr>
            <w:tcW w:w="1929" w:type="dxa"/>
          </w:tcPr>
          <w:p w14:paraId="2450AC15" w14:textId="77777777" w:rsidR="00636368" w:rsidRPr="00E07CE2" w:rsidRDefault="00636368" w:rsidP="00C70808">
            <w:pPr>
              <w:pStyle w:val="TableParagraph"/>
              <w:spacing w:after="0"/>
            </w:pPr>
            <w:r w:rsidRPr="00784AA6">
              <w:t>Outpatient appointments attended</w:t>
            </w:r>
          </w:p>
        </w:tc>
        <w:tc>
          <w:tcPr>
            <w:tcW w:w="618" w:type="dxa"/>
            <w:vAlign w:val="center"/>
          </w:tcPr>
          <w:p w14:paraId="45E66CEF" w14:textId="77777777" w:rsidR="00636368" w:rsidRPr="008E3AE6" w:rsidRDefault="00636368" w:rsidP="00C70808">
            <w:pPr>
              <w:pStyle w:val="TableParagraph"/>
              <w:spacing w:after="0"/>
              <w:jc w:val="center"/>
            </w:pPr>
            <w:r w:rsidRPr="00636368">
              <w:t>23</w:t>
            </w:r>
          </w:p>
        </w:tc>
        <w:tc>
          <w:tcPr>
            <w:tcW w:w="697" w:type="dxa"/>
            <w:vAlign w:val="center"/>
          </w:tcPr>
          <w:p w14:paraId="33EDD55B" w14:textId="77777777" w:rsidR="00636368" w:rsidRPr="008E3AE6" w:rsidRDefault="00636368" w:rsidP="00C70808">
            <w:pPr>
              <w:pStyle w:val="TableParagraph"/>
              <w:spacing w:after="0"/>
              <w:jc w:val="center"/>
            </w:pPr>
            <w:r w:rsidRPr="00636368">
              <w:t>33%</w:t>
            </w:r>
          </w:p>
        </w:tc>
        <w:tc>
          <w:tcPr>
            <w:tcW w:w="598" w:type="dxa"/>
            <w:vAlign w:val="center"/>
          </w:tcPr>
          <w:p w14:paraId="461ED74E" w14:textId="77777777" w:rsidR="00636368" w:rsidRPr="008E3AE6" w:rsidRDefault="00636368" w:rsidP="00C70808">
            <w:pPr>
              <w:pStyle w:val="TableParagraph"/>
              <w:spacing w:after="0"/>
              <w:jc w:val="center"/>
            </w:pPr>
            <w:r w:rsidRPr="00636368">
              <w:t>7</w:t>
            </w:r>
          </w:p>
        </w:tc>
        <w:tc>
          <w:tcPr>
            <w:tcW w:w="692" w:type="dxa"/>
            <w:vAlign w:val="center"/>
          </w:tcPr>
          <w:p w14:paraId="28369D9C" w14:textId="77777777" w:rsidR="00636368" w:rsidRPr="008E3AE6" w:rsidRDefault="00636368" w:rsidP="00C70808">
            <w:pPr>
              <w:pStyle w:val="TableParagraph"/>
              <w:spacing w:after="0"/>
              <w:jc w:val="center"/>
            </w:pPr>
            <w:r w:rsidRPr="00636368">
              <w:t>33%</w:t>
            </w:r>
          </w:p>
        </w:tc>
        <w:tc>
          <w:tcPr>
            <w:tcW w:w="592" w:type="dxa"/>
            <w:vAlign w:val="center"/>
          </w:tcPr>
          <w:p w14:paraId="52492E15" w14:textId="77777777" w:rsidR="00636368" w:rsidRPr="008E3AE6" w:rsidRDefault="00636368" w:rsidP="00C70808">
            <w:pPr>
              <w:pStyle w:val="TableParagraph"/>
              <w:spacing w:after="0"/>
              <w:jc w:val="center"/>
            </w:pPr>
            <w:r w:rsidRPr="00636368">
              <w:t>2</w:t>
            </w:r>
          </w:p>
        </w:tc>
        <w:tc>
          <w:tcPr>
            <w:tcW w:w="689" w:type="dxa"/>
            <w:vAlign w:val="center"/>
          </w:tcPr>
          <w:p w14:paraId="5C79AF3F" w14:textId="77777777" w:rsidR="00636368" w:rsidRPr="008E3AE6" w:rsidRDefault="00636368" w:rsidP="00C70808">
            <w:pPr>
              <w:pStyle w:val="TableParagraph"/>
              <w:spacing w:after="0"/>
              <w:jc w:val="center"/>
            </w:pPr>
            <w:r w:rsidRPr="00636368">
              <w:t>33%</w:t>
            </w:r>
          </w:p>
        </w:tc>
        <w:tc>
          <w:tcPr>
            <w:tcW w:w="616" w:type="dxa"/>
            <w:vAlign w:val="center"/>
          </w:tcPr>
          <w:p w14:paraId="4344F900" w14:textId="77777777" w:rsidR="00636368" w:rsidRPr="008E3AE6" w:rsidRDefault="00636368" w:rsidP="00C70808">
            <w:pPr>
              <w:pStyle w:val="TableParagraph"/>
              <w:spacing w:after="0"/>
              <w:jc w:val="center"/>
            </w:pPr>
            <w:r w:rsidRPr="00636368">
              <w:t>1</w:t>
            </w:r>
          </w:p>
        </w:tc>
        <w:tc>
          <w:tcPr>
            <w:tcW w:w="699" w:type="dxa"/>
            <w:vAlign w:val="center"/>
          </w:tcPr>
          <w:p w14:paraId="48114B2B" w14:textId="77777777" w:rsidR="00636368" w:rsidRPr="008E3AE6" w:rsidRDefault="00636368" w:rsidP="00C70808">
            <w:pPr>
              <w:pStyle w:val="TableParagraph"/>
              <w:spacing w:after="0"/>
              <w:jc w:val="center"/>
            </w:pPr>
            <w:r w:rsidRPr="00636368">
              <w:t>5%</w:t>
            </w:r>
          </w:p>
        </w:tc>
        <w:tc>
          <w:tcPr>
            <w:tcW w:w="592" w:type="dxa"/>
            <w:vAlign w:val="center"/>
          </w:tcPr>
          <w:p w14:paraId="5A7D861D" w14:textId="77777777" w:rsidR="00636368" w:rsidRPr="008E3AE6" w:rsidRDefault="00636368" w:rsidP="00C70808">
            <w:pPr>
              <w:pStyle w:val="TableParagraph"/>
              <w:spacing w:after="0"/>
              <w:jc w:val="center"/>
            </w:pPr>
            <w:r w:rsidRPr="00636368">
              <w:t>9</w:t>
            </w:r>
          </w:p>
        </w:tc>
        <w:tc>
          <w:tcPr>
            <w:tcW w:w="689" w:type="dxa"/>
            <w:vAlign w:val="center"/>
          </w:tcPr>
          <w:p w14:paraId="1C8EEA0B" w14:textId="77777777" w:rsidR="00636368" w:rsidRPr="008E3AE6" w:rsidRDefault="00636368" w:rsidP="00C70808">
            <w:pPr>
              <w:pStyle w:val="TableParagraph"/>
              <w:spacing w:after="0"/>
              <w:jc w:val="center"/>
            </w:pPr>
            <w:r w:rsidRPr="00636368">
              <w:t>43%</w:t>
            </w:r>
          </w:p>
        </w:tc>
        <w:tc>
          <w:tcPr>
            <w:tcW w:w="606" w:type="dxa"/>
            <w:vAlign w:val="center"/>
          </w:tcPr>
          <w:p w14:paraId="31B563DD" w14:textId="77777777" w:rsidR="00636368" w:rsidRPr="008E3AE6" w:rsidRDefault="00636368" w:rsidP="00C70808">
            <w:pPr>
              <w:pStyle w:val="TableParagraph"/>
              <w:spacing w:after="0"/>
              <w:jc w:val="center"/>
            </w:pPr>
            <w:r w:rsidRPr="00636368">
              <w:t>42</w:t>
            </w:r>
          </w:p>
        </w:tc>
        <w:tc>
          <w:tcPr>
            <w:tcW w:w="617" w:type="dxa"/>
            <w:vAlign w:val="center"/>
          </w:tcPr>
          <w:p w14:paraId="16C4F426" w14:textId="77777777" w:rsidR="00636368" w:rsidRPr="008E3AE6" w:rsidRDefault="00636368" w:rsidP="00C70808">
            <w:pPr>
              <w:pStyle w:val="TableParagraph"/>
              <w:spacing w:after="0"/>
              <w:jc w:val="center"/>
            </w:pPr>
            <w:r w:rsidRPr="00636368">
              <w:t>31%</w:t>
            </w:r>
          </w:p>
        </w:tc>
      </w:tr>
      <w:tr w:rsidR="00636368" w:rsidRPr="00742604" w14:paraId="71A3F590" w14:textId="77777777" w:rsidTr="00E80423">
        <w:trPr>
          <w:cnfStyle w:val="000000100000" w:firstRow="0" w:lastRow="0" w:firstColumn="0" w:lastColumn="0" w:oddVBand="0" w:evenVBand="0" w:oddHBand="1" w:evenHBand="0" w:firstRowFirstColumn="0" w:firstRowLastColumn="0" w:lastRowFirstColumn="0" w:lastRowLastColumn="0"/>
        </w:trPr>
        <w:tc>
          <w:tcPr>
            <w:tcW w:w="1929" w:type="dxa"/>
          </w:tcPr>
          <w:p w14:paraId="004CA3AD" w14:textId="77777777" w:rsidR="00636368" w:rsidRPr="00E07CE2" w:rsidRDefault="00636368" w:rsidP="00C70808">
            <w:pPr>
              <w:pStyle w:val="TableParagraph"/>
              <w:spacing w:after="0"/>
            </w:pPr>
            <w:r w:rsidRPr="00784AA6">
              <w:t xml:space="preserve">Admittance to hospital – planned procedure </w:t>
            </w:r>
          </w:p>
        </w:tc>
        <w:tc>
          <w:tcPr>
            <w:tcW w:w="618" w:type="dxa"/>
            <w:vAlign w:val="center"/>
          </w:tcPr>
          <w:p w14:paraId="172FE4D0" w14:textId="77777777" w:rsidR="00636368" w:rsidRPr="00F72248" w:rsidRDefault="00636368" w:rsidP="00C70808">
            <w:pPr>
              <w:pStyle w:val="TableParagraph"/>
              <w:spacing w:after="0"/>
              <w:jc w:val="center"/>
            </w:pPr>
            <w:r w:rsidRPr="00636368">
              <w:t>4</w:t>
            </w:r>
          </w:p>
        </w:tc>
        <w:tc>
          <w:tcPr>
            <w:tcW w:w="697" w:type="dxa"/>
            <w:vAlign w:val="center"/>
          </w:tcPr>
          <w:p w14:paraId="2369C58D" w14:textId="77777777" w:rsidR="00636368" w:rsidRPr="00F72248" w:rsidRDefault="00636368" w:rsidP="00C70808">
            <w:pPr>
              <w:pStyle w:val="TableParagraph"/>
              <w:spacing w:after="0"/>
              <w:jc w:val="center"/>
            </w:pPr>
            <w:r w:rsidRPr="00636368">
              <w:t>6%</w:t>
            </w:r>
          </w:p>
        </w:tc>
        <w:tc>
          <w:tcPr>
            <w:tcW w:w="598" w:type="dxa"/>
            <w:vAlign w:val="center"/>
          </w:tcPr>
          <w:p w14:paraId="2BCC66BB" w14:textId="77777777" w:rsidR="00636368" w:rsidRPr="00F72248" w:rsidRDefault="00636368" w:rsidP="00C70808">
            <w:pPr>
              <w:pStyle w:val="TableParagraph"/>
              <w:spacing w:after="0"/>
              <w:jc w:val="center"/>
            </w:pPr>
            <w:r w:rsidRPr="00636368">
              <w:t>3</w:t>
            </w:r>
          </w:p>
        </w:tc>
        <w:tc>
          <w:tcPr>
            <w:tcW w:w="692" w:type="dxa"/>
            <w:vAlign w:val="center"/>
          </w:tcPr>
          <w:p w14:paraId="5B8DDBF0" w14:textId="77777777" w:rsidR="00636368" w:rsidRPr="00F72248" w:rsidRDefault="00636368" w:rsidP="00C70808">
            <w:pPr>
              <w:pStyle w:val="TableParagraph"/>
              <w:spacing w:after="0"/>
              <w:jc w:val="center"/>
            </w:pPr>
            <w:r w:rsidRPr="00636368">
              <w:t>14%</w:t>
            </w:r>
          </w:p>
        </w:tc>
        <w:tc>
          <w:tcPr>
            <w:tcW w:w="592" w:type="dxa"/>
            <w:vAlign w:val="center"/>
          </w:tcPr>
          <w:p w14:paraId="6C3B7561" w14:textId="77777777" w:rsidR="00636368" w:rsidRPr="00F72248" w:rsidRDefault="00636368" w:rsidP="00C70808">
            <w:pPr>
              <w:pStyle w:val="TableParagraph"/>
              <w:spacing w:after="0"/>
              <w:jc w:val="center"/>
            </w:pPr>
            <w:r w:rsidRPr="00636368">
              <w:t>0</w:t>
            </w:r>
          </w:p>
        </w:tc>
        <w:tc>
          <w:tcPr>
            <w:tcW w:w="689" w:type="dxa"/>
            <w:vAlign w:val="center"/>
          </w:tcPr>
          <w:p w14:paraId="4012F95B" w14:textId="77777777" w:rsidR="00636368" w:rsidRPr="00F72248" w:rsidRDefault="00636368" w:rsidP="00C70808">
            <w:pPr>
              <w:pStyle w:val="TableParagraph"/>
              <w:spacing w:after="0"/>
              <w:jc w:val="center"/>
            </w:pPr>
            <w:r w:rsidRPr="00636368">
              <w:t>0%</w:t>
            </w:r>
          </w:p>
        </w:tc>
        <w:tc>
          <w:tcPr>
            <w:tcW w:w="616" w:type="dxa"/>
            <w:vAlign w:val="center"/>
          </w:tcPr>
          <w:p w14:paraId="32F50049" w14:textId="77777777" w:rsidR="00636368" w:rsidRPr="00F72248" w:rsidRDefault="00636368" w:rsidP="00C70808">
            <w:pPr>
              <w:pStyle w:val="TableParagraph"/>
              <w:spacing w:after="0"/>
              <w:jc w:val="center"/>
            </w:pPr>
            <w:r w:rsidRPr="00636368">
              <w:t>4</w:t>
            </w:r>
          </w:p>
        </w:tc>
        <w:tc>
          <w:tcPr>
            <w:tcW w:w="699" w:type="dxa"/>
            <w:vAlign w:val="center"/>
          </w:tcPr>
          <w:p w14:paraId="7C18BD65" w14:textId="77777777" w:rsidR="00636368" w:rsidRPr="00F72248" w:rsidRDefault="00636368" w:rsidP="00C70808">
            <w:pPr>
              <w:pStyle w:val="TableParagraph"/>
              <w:spacing w:after="0"/>
              <w:jc w:val="center"/>
            </w:pPr>
            <w:r w:rsidRPr="00636368">
              <w:t>21%</w:t>
            </w:r>
          </w:p>
        </w:tc>
        <w:tc>
          <w:tcPr>
            <w:tcW w:w="592" w:type="dxa"/>
            <w:vAlign w:val="center"/>
          </w:tcPr>
          <w:p w14:paraId="5C26B377" w14:textId="77777777" w:rsidR="00636368" w:rsidRPr="00F72248" w:rsidRDefault="00636368" w:rsidP="00C70808">
            <w:pPr>
              <w:pStyle w:val="TableParagraph"/>
              <w:spacing w:after="0"/>
              <w:jc w:val="center"/>
            </w:pPr>
            <w:r w:rsidRPr="00636368">
              <w:t>1</w:t>
            </w:r>
          </w:p>
        </w:tc>
        <w:tc>
          <w:tcPr>
            <w:tcW w:w="689" w:type="dxa"/>
            <w:vAlign w:val="center"/>
          </w:tcPr>
          <w:p w14:paraId="53BFCC19" w14:textId="77777777" w:rsidR="00636368" w:rsidRPr="00F72248" w:rsidRDefault="00636368" w:rsidP="00C70808">
            <w:pPr>
              <w:pStyle w:val="TableParagraph"/>
              <w:spacing w:after="0"/>
              <w:jc w:val="center"/>
            </w:pPr>
            <w:r w:rsidRPr="00636368">
              <w:t>5%</w:t>
            </w:r>
          </w:p>
        </w:tc>
        <w:tc>
          <w:tcPr>
            <w:tcW w:w="606" w:type="dxa"/>
            <w:vAlign w:val="center"/>
          </w:tcPr>
          <w:p w14:paraId="0005BC31" w14:textId="77777777" w:rsidR="00636368" w:rsidRPr="00F72248" w:rsidRDefault="00636368" w:rsidP="00C70808">
            <w:pPr>
              <w:pStyle w:val="TableParagraph"/>
              <w:spacing w:after="0"/>
              <w:jc w:val="center"/>
            </w:pPr>
            <w:r w:rsidRPr="00636368">
              <w:t>12</w:t>
            </w:r>
          </w:p>
        </w:tc>
        <w:tc>
          <w:tcPr>
            <w:tcW w:w="617" w:type="dxa"/>
            <w:vAlign w:val="center"/>
          </w:tcPr>
          <w:p w14:paraId="771166DC" w14:textId="77777777" w:rsidR="00636368" w:rsidRPr="00F72248" w:rsidRDefault="00636368" w:rsidP="00C70808">
            <w:pPr>
              <w:pStyle w:val="TableParagraph"/>
              <w:spacing w:after="0"/>
              <w:jc w:val="center"/>
            </w:pPr>
            <w:r w:rsidRPr="00636368">
              <w:t>9%</w:t>
            </w:r>
          </w:p>
        </w:tc>
      </w:tr>
      <w:tr w:rsidR="00636368" w:rsidRPr="00742604" w14:paraId="5E4B95C1" w14:textId="77777777" w:rsidTr="00E80423">
        <w:trPr>
          <w:cnfStyle w:val="000000010000" w:firstRow="0" w:lastRow="0" w:firstColumn="0" w:lastColumn="0" w:oddVBand="0" w:evenVBand="0" w:oddHBand="0" w:evenHBand="1" w:firstRowFirstColumn="0" w:firstRowLastColumn="0" w:lastRowFirstColumn="0" w:lastRowLastColumn="0"/>
        </w:trPr>
        <w:tc>
          <w:tcPr>
            <w:tcW w:w="1929" w:type="dxa"/>
          </w:tcPr>
          <w:p w14:paraId="3A1095D1" w14:textId="77777777" w:rsidR="00636368" w:rsidRPr="00E07CE2" w:rsidRDefault="00636368" w:rsidP="00C70808">
            <w:pPr>
              <w:pStyle w:val="TableParagraph"/>
              <w:spacing w:after="0"/>
            </w:pPr>
            <w:r w:rsidRPr="00784AA6">
              <w:t>Admittance to hospital – emergency</w:t>
            </w:r>
          </w:p>
        </w:tc>
        <w:tc>
          <w:tcPr>
            <w:tcW w:w="618" w:type="dxa"/>
            <w:vAlign w:val="center"/>
          </w:tcPr>
          <w:p w14:paraId="29503A2F" w14:textId="77777777" w:rsidR="00636368" w:rsidRPr="00A07033" w:rsidRDefault="00636368" w:rsidP="00C70808">
            <w:pPr>
              <w:pStyle w:val="TableParagraph"/>
              <w:spacing w:after="0"/>
              <w:jc w:val="center"/>
            </w:pPr>
            <w:r w:rsidRPr="00636368">
              <w:t>3</w:t>
            </w:r>
          </w:p>
        </w:tc>
        <w:tc>
          <w:tcPr>
            <w:tcW w:w="697" w:type="dxa"/>
            <w:vAlign w:val="center"/>
          </w:tcPr>
          <w:p w14:paraId="05D4ECF4" w14:textId="77777777" w:rsidR="00636368" w:rsidRPr="00A07033" w:rsidRDefault="00636368" w:rsidP="00C70808">
            <w:pPr>
              <w:pStyle w:val="TableParagraph"/>
              <w:spacing w:after="0"/>
              <w:jc w:val="center"/>
            </w:pPr>
            <w:r w:rsidRPr="00636368">
              <w:t>4%</w:t>
            </w:r>
          </w:p>
        </w:tc>
        <w:tc>
          <w:tcPr>
            <w:tcW w:w="598" w:type="dxa"/>
            <w:vAlign w:val="center"/>
          </w:tcPr>
          <w:p w14:paraId="5492F1E1" w14:textId="77777777" w:rsidR="00636368" w:rsidRPr="00A07033" w:rsidRDefault="00636368" w:rsidP="00C70808">
            <w:pPr>
              <w:pStyle w:val="TableParagraph"/>
              <w:spacing w:after="0"/>
              <w:jc w:val="center"/>
            </w:pPr>
            <w:r w:rsidRPr="00636368">
              <w:t>2</w:t>
            </w:r>
          </w:p>
        </w:tc>
        <w:tc>
          <w:tcPr>
            <w:tcW w:w="692" w:type="dxa"/>
            <w:vAlign w:val="center"/>
          </w:tcPr>
          <w:p w14:paraId="24562925" w14:textId="77777777" w:rsidR="00636368" w:rsidRPr="00A07033" w:rsidRDefault="00636368" w:rsidP="00C70808">
            <w:pPr>
              <w:pStyle w:val="TableParagraph"/>
              <w:spacing w:after="0"/>
              <w:jc w:val="center"/>
            </w:pPr>
            <w:r w:rsidRPr="00636368">
              <w:t>10%</w:t>
            </w:r>
          </w:p>
        </w:tc>
        <w:tc>
          <w:tcPr>
            <w:tcW w:w="592" w:type="dxa"/>
            <w:vAlign w:val="center"/>
          </w:tcPr>
          <w:p w14:paraId="18753335" w14:textId="77777777" w:rsidR="00636368" w:rsidRPr="00A07033" w:rsidRDefault="00636368" w:rsidP="00C70808">
            <w:pPr>
              <w:pStyle w:val="TableParagraph"/>
              <w:spacing w:after="0"/>
              <w:jc w:val="center"/>
            </w:pPr>
            <w:r w:rsidRPr="00636368">
              <w:t>0</w:t>
            </w:r>
          </w:p>
        </w:tc>
        <w:tc>
          <w:tcPr>
            <w:tcW w:w="689" w:type="dxa"/>
            <w:vAlign w:val="center"/>
          </w:tcPr>
          <w:p w14:paraId="633A25A9" w14:textId="77777777" w:rsidR="00636368" w:rsidRPr="00A07033" w:rsidRDefault="00636368" w:rsidP="00C70808">
            <w:pPr>
              <w:pStyle w:val="TableParagraph"/>
              <w:spacing w:after="0"/>
              <w:jc w:val="center"/>
            </w:pPr>
            <w:r w:rsidRPr="00636368">
              <w:t>0%</w:t>
            </w:r>
          </w:p>
        </w:tc>
        <w:tc>
          <w:tcPr>
            <w:tcW w:w="616" w:type="dxa"/>
            <w:vAlign w:val="center"/>
          </w:tcPr>
          <w:p w14:paraId="48C3A115" w14:textId="77777777" w:rsidR="00636368" w:rsidRPr="00A07033" w:rsidRDefault="00636368" w:rsidP="00C70808">
            <w:pPr>
              <w:pStyle w:val="TableParagraph"/>
              <w:spacing w:after="0"/>
              <w:jc w:val="center"/>
            </w:pPr>
            <w:r w:rsidRPr="00636368">
              <w:t>2</w:t>
            </w:r>
          </w:p>
        </w:tc>
        <w:tc>
          <w:tcPr>
            <w:tcW w:w="699" w:type="dxa"/>
            <w:vAlign w:val="center"/>
          </w:tcPr>
          <w:p w14:paraId="1407708F" w14:textId="77777777" w:rsidR="00636368" w:rsidRPr="00A07033" w:rsidRDefault="00636368" w:rsidP="00C70808">
            <w:pPr>
              <w:pStyle w:val="TableParagraph"/>
              <w:spacing w:after="0"/>
              <w:jc w:val="center"/>
            </w:pPr>
            <w:r w:rsidRPr="00636368">
              <w:t>11%</w:t>
            </w:r>
          </w:p>
        </w:tc>
        <w:tc>
          <w:tcPr>
            <w:tcW w:w="592" w:type="dxa"/>
            <w:vAlign w:val="center"/>
          </w:tcPr>
          <w:p w14:paraId="7C75CDD3" w14:textId="77777777" w:rsidR="00636368" w:rsidRPr="00A07033" w:rsidRDefault="00636368" w:rsidP="00C70808">
            <w:pPr>
              <w:pStyle w:val="TableParagraph"/>
              <w:spacing w:after="0"/>
              <w:jc w:val="center"/>
            </w:pPr>
            <w:r w:rsidRPr="00636368">
              <w:t>2</w:t>
            </w:r>
          </w:p>
        </w:tc>
        <w:tc>
          <w:tcPr>
            <w:tcW w:w="689" w:type="dxa"/>
            <w:vAlign w:val="center"/>
          </w:tcPr>
          <w:p w14:paraId="4E661A7A" w14:textId="77777777" w:rsidR="00636368" w:rsidRPr="00A07033" w:rsidRDefault="00636368" w:rsidP="00C70808">
            <w:pPr>
              <w:pStyle w:val="TableParagraph"/>
              <w:spacing w:after="0"/>
              <w:jc w:val="center"/>
            </w:pPr>
            <w:r w:rsidRPr="00636368">
              <w:t>10%</w:t>
            </w:r>
          </w:p>
        </w:tc>
        <w:tc>
          <w:tcPr>
            <w:tcW w:w="606" w:type="dxa"/>
            <w:vAlign w:val="center"/>
          </w:tcPr>
          <w:p w14:paraId="3E1299DB" w14:textId="77777777" w:rsidR="00636368" w:rsidRPr="00A07033" w:rsidRDefault="00636368" w:rsidP="00C70808">
            <w:pPr>
              <w:pStyle w:val="TableParagraph"/>
              <w:spacing w:after="0"/>
              <w:jc w:val="center"/>
            </w:pPr>
            <w:r w:rsidRPr="00636368">
              <w:t>9</w:t>
            </w:r>
          </w:p>
        </w:tc>
        <w:tc>
          <w:tcPr>
            <w:tcW w:w="617" w:type="dxa"/>
            <w:vAlign w:val="center"/>
          </w:tcPr>
          <w:p w14:paraId="6AA530BC" w14:textId="77777777" w:rsidR="00636368" w:rsidRPr="00A07033" w:rsidRDefault="00636368" w:rsidP="00C70808">
            <w:pPr>
              <w:pStyle w:val="TableParagraph"/>
              <w:spacing w:after="0"/>
              <w:jc w:val="center"/>
            </w:pPr>
            <w:r w:rsidRPr="00636368">
              <w:t>7%</w:t>
            </w:r>
          </w:p>
        </w:tc>
      </w:tr>
    </w:tbl>
    <w:p w14:paraId="14BCF7D0" w14:textId="77777777" w:rsidR="00D12D6E" w:rsidRDefault="00E80423" w:rsidP="00E80423">
      <w:pPr>
        <w:pStyle w:val="Quote"/>
      </w:pPr>
      <w:r>
        <w:t xml:space="preserve">Source: </w:t>
      </w:r>
      <w:r w:rsidRPr="00E80423">
        <w:t>RSM PACEC Survey</w:t>
      </w:r>
      <w:r>
        <w:t xml:space="preserve"> of Social Prescribing Service Users</w:t>
      </w:r>
      <w:r w:rsidRPr="00E80423">
        <w:t xml:space="preserve"> (2017)</w:t>
      </w:r>
    </w:p>
    <w:p w14:paraId="1E60F9ED" w14:textId="18919F98" w:rsidR="00B56D0C" w:rsidRDefault="00B56D0C" w:rsidP="00AE785D">
      <w:pPr>
        <w:pStyle w:val="BodyText-parastyle"/>
      </w:pPr>
    </w:p>
    <w:p w14:paraId="307BB337" w14:textId="77777777" w:rsidR="00D12D6E" w:rsidRPr="00151217" w:rsidRDefault="00D12D6E" w:rsidP="00AE785D">
      <w:pPr>
        <w:pStyle w:val="BodyText-parastyle"/>
      </w:pPr>
      <w:r w:rsidRPr="00151217">
        <w:t>For secondary care services it shows:</w:t>
      </w:r>
    </w:p>
    <w:p w14:paraId="149717DB" w14:textId="77777777" w:rsidR="00D12D6E" w:rsidRPr="00151217" w:rsidRDefault="00D12D6E" w:rsidP="00D53262">
      <w:pPr>
        <w:pStyle w:val="ListParagraph"/>
      </w:pPr>
      <w:r w:rsidRPr="00151217">
        <w:rPr>
          <w:color w:val="00B0F0"/>
        </w:rPr>
        <w:t xml:space="preserve">Attendance at A+E </w:t>
      </w:r>
      <w:r w:rsidRPr="00151217">
        <w:t xml:space="preserve">– </w:t>
      </w:r>
      <w:r w:rsidR="00FE3FF9" w:rsidRPr="00151217">
        <w:t>13</w:t>
      </w:r>
      <w:r w:rsidRPr="00151217">
        <w:t>% (n=</w:t>
      </w:r>
      <w:r w:rsidR="00FE3FF9" w:rsidRPr="00151217">
        <w:t>17</w:t>
      </w:r>
      <w:r w:rsidRPr="00151217">
        <w:t xml:space="preserve">) reported a reduction in attendance at A+E </w:t>
      </w:r>
      <w:r w:rsidR="00FE3FF9" w:rsidRPr="00151217">
        <w:t xml:space="preserve">and overall reported attendance at A+E decreased by 10 attendances </w:t>
      </w:r>
    </w:p>
    <w:p w14:paraId="037ADBFE" w14:textId="77777777" w:rsidR="00D12D6E" w:rsidRPr="00151217" w:rsidRDefault="00D12D6E" w:rsidP="00D53262">
      <w:pPr>
        <w:pStyle w:val="ListParagraph"/>
      </w:pPr>
      <w:r w:rsidRPr="00151217">
        <w:rPr>
          <w:color w:val="00B0F0"/>
        </w:rPr>
        <w:t xml:space="preserve">Outpatient appointments attended </w:t>
      </w:r>
      <w:r w:rsidRPr="00151217">
        <w:t xml:space="preserve">– </w:t>
      </w:r>
      <w:r w:rsidR="00FE3FF9" w:rsidRPr="00151217">
        <w:t>31</w:t>
      </w:r>
      <w:r w:rsidRPr="00151217">
        <w:t>% (n=</w:t>
      </w:r>
      <w:r w:rsidR="00FE3FF9" w:rsidRPr="00151217">
        <w:t>42</w:t>
      </w:r>
      <w:r w:rsidRPr="00151217">
        <w:t xml:space="preserve">) had reported a reduction </w:t>
      </w:r>
      <w:r w:rsidR="00FE3FF9" w:rsidRPr="00151217">
        <w:t xml:space="preserve">in the number of outpatient appointments attended and overall the reported number of outpatient appointments reduced by 54 appointments </w:t>
      </w:r>
    </w:p>
    <w:p w14:paraId="1B5651ED" w14:textId="77777777" w:rsidR="00D12D6E" w:rsidRPr="00151217" w:rsidRDefault="00D12D6E" w:rsidP="00D53262">
      <w:pPr>
        <w:pStyle w:val="ListParagraph"/>
      </w:pPr>
      <w:r w:rsidRPr="00151217">
        <w:rPr>
          <w:color w:val="00B0F0"/>
        </w:rPr>
        <w:t xml:space="preserve">Admittance to hospital (planned procedure) </w:t>
      </w:r>
      <w:r w:rsidR="00FE3FF9" w:rsidRPr="00151217">
        <w:t xml:space="preserve">- 9% </w:t>
      </w:r>
      <w:r w:rsidRPr="00151217">
        <w:t>(n=</w:t>
      </w:r>
      <w:r w:rsidR="00FE3FF9" w:rsidRPr="00151217">
        <w:t>12</w:t>
      </w:r>
      <w:r w:rsidRPr="00151217">
        <w:t>) reported reduc</w:t>
      </w:r>
      <w:r w:rsidR="00FE3FF9" w:rsidRPr="00151217">
        <w:t>ed admissions to hospital for a planned procedure and overall the number of reported admissions reduced by 2 admissions</w:t>
      </w:r>
    </w:p>
    <w:p w14:paraId="5991C2D8" w14:textId="77777777" w:rsidR="00D12D6E" w:rsidRPr="00151217" w:rsidRDefault="00D12D6E" w:rsidP="00D53262">
      <w:pPr>
        <w:pStyle w:val="ListParagraph"/>
      </w:pPr>
      <w:r w:rsidRPr="00151217">
        <w:rPr>
          <w:color w:val="00B0F0"/>
        </w:rPr>
        <w:t>Admittance to hospital (emergency)</w:t>
      </w:r>
      <w:r w:rsidRPr="00151217">
        <w:t xml:space="preserve"> –</w:t>
      </w:r>
      <w:r w:rsidR="00FE3FF9" w:rsidRPr="00151217">
        <w:t xml:space="preserve"> 7</w:t>
      </w:r>
      <w:r w:rsidRPr="00151217">
        <w:t>% (n=</w:t>
      </w:r>
      <w:r w:rsidR="00FE3FF9" w:rsidRPr="00151217">
        <w:t>9</w:t>
      </w:r>
      <w:r w:rsidRPr="00151217">
        <w:t>) r</w:t>
      </w:r>
      <w:r w:rsidR="00FE3FF9" w:rsidRPr="00151217">
        <w:t>eported reduced admissions to hospital for an emergency procedure and overall the number of reported admissions reduced by 15 admissions</w:t>
      </w:r>
    </w:p>
    <w:p w14:paraId="47ECB8D4" w14:textId="77777777" w:rsidR="00BA2DB9" w:rsidRDefault="00D12D6E" w:rsidP="00AE785D">
      <w:pPr>
        <w:pStyle w:val="BodyText-parastyle"/>
      </w:pPr>
      <w:r w:rsidRPr="00151217">
        <w:t xml:space="preserve">Due to the small number of respondents the findings above are not representative or statistically significant. The value of the outcome changes above are recorded in </w:t>
      </w:r>
      <w:r w:rsidRPr="00375A26">
        <w:t>section</w:t>
      </w:r>
      <w:r w:rsidR="00151217" w:rsidRPr="00375A26">
        <w:t xml:space="preserve"> </w:t>
      </w:r>
      <w:r w:rsidR="003702C8">
        <w:t>8</w:t>
      </w:r>
      <w:r w:rsidRPr="00375A26">
        <w:t>.</w:t>
      </w:r>
    </w:p>
    <w:p w14:paraId="5F7B671E" w14:textId="77777777" w:rsidR="00AD0525" w:rsidRDefault="00AD0525" w:rsidP="00D465F1">
      <w:pPr>
        <w:pStyle w:val="Heading3"/>
      </w:pPr>
      <w:r>
        <w:t>Social Care Outcomes</w:t>
      </w:r>
    </w:p>
    <w:p w14:paraId="1C2FDC64" w14:textId="77777777" w:rsidR="00AD0525" w:rsidRPr="00C517D2" w:rsidRDefault="00BA2DB9" w:rsidP="00AE785D">
      <w:pPr>
        <w:pStyle w:val="BodyText-parastyle"/>
      </w:pPr>
      <w:r>
        <w:t xml:space="preserve">Table </w:t>
      </w:r>
      <w:r w:rsidR="004B7FF5">
        <w:t>6</w:t>
      </w:r>
      <w:r>
        <w:t>.7</w:t>
      </w:r>
      <w:r w:rsidR="00AD0525">
        <w:t xml:space="preserve"> provides an overview of respondent’s reported use of social care services over a 3 month period:</w:t>
      </w:r>
    </w:p>
    <w:p w14:paraId="7326B0C8" w14:textId="77777777" w:rsidR="00AD0525" w:rsidRDefault="00AD0525"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7</w:t>
      </w:r>
      <w:r w:rsidR="00603E87">
        <w:fldChar w:fldCharType="end"/>
      </w:r>
      <w:r>
        <w:t>: Change in use of social care services</w:t>
      </w:r>
      <w:r w:rsidRPr="006012CC">
        <w:t xml:space="preserve"> </w:t>
      </w:r>
      <w:r>
        <w:t>(over a 3 month period; n=</w:t>
      </w:r>
      <w:r w:rsidR="00A16768">
        <w:t>134</w:t>
      </w:r>
      <w:r>
        <w:t>)</w:t>
      </w:r>
    </w:p>
    <w:tbl>
      <w:tblPr>
        <w:tblStyle w:val="ForfasTableGrid1"/>
        <w:tblW w:w="9769" w:type="dxa"/>
        <w:tblLook w:val="04A0" w:firstRow="1" w:lastRow="0" w:firstColumn="1" w:lastColumn="0" w:noHBand="0" w:noVBand="1"/>
      </w:tblPr>
      <w:tblGrid>
        <w:gridCol w:w="1975"/>
        <w:gridCol w:w="635"/>
        <w:gridCol w:w="690"/>
        <w:gridCol w:w="628"/>
        <w:gridCol w:w="677"/>
        <w:gridCol w:w="627"/>
        <w:gridCol w:w="635"/>
        <w:gridCol w:w="636"/>
        <w:gridCol w:w="687"/>
        <w:gridCol w:w="627"/>
        <w:gridCol w:w="635"/>
        <w:gridCol w:w="631"/>
        <w:gridCol w:w="686"/>
      </w:tblGrid>
      <w:tr w:rsidR="00A16768" w:rsidRPr="00742604" w14:paraId="16BE22C7" w14:textId="77777777" w:rsidTr="00E80423">
        <w:trPr>
          <w:cnfStyle w:val="100000000000" w:firstRow="1" w:lastRow="0" w:firstColumn="0" w:lastColumn="0" w:oddVBand="0" w:evenVBand="0" w:oddHBand="0" w:evenHBand="0" w:firstRowFirstColumn="0" w:firstRowLastColumn="0" w:lastRowFirstColumn="0" w:lastRowLastColumn="0"/>
          <w:tblHeader/>
        </w:trPr>
        <w:tc>
          <w:tcPr>
            <w:tcW w:w="1975" w:type="dxa"/>
            <w:vMerge w:val="restart"/>
          </w:tcPr>
          <w:p w14:paraId="2E58DB4C" w14:textId="77777777" w:rsidR="00AD0525" w:rsidRPr="00742604" w:rsidRDefault="00AD0525" w:rsidP="0012257C">
            <w:pPr>
              <w:pStyle w:val="TableHeading"/>
            </w:pPr>
          </w:p>
        </w:tc>
        <w:tc>
          <w:tcPr>
            <w:tcW w:w="1325" w:type="dxa"/>
            <w:gridSpan w:val="2"/>
          </w:tcPr>
          <w:p w14:paraId="21E1C927" w14:textId="77777777" w:rsidR="00AD0525" w:rsidRPr="00742604" w:rsidRDefault="00AD0525" w:rsidP="0012257C">
            <w:pPr>
              <w:pStyle w:val="TableHeading"/>
            </w:pPr>
            <w:r>
              <w:t xml:space="preserve">Basildon and Brentwood </w:t>
            </w:r>
          </w:p>
        </w:tc>
        <w:tc>
          <w:tcPr>
            <w:tcW w:w="1305" w:type="dxa"/>
            <w:gridSpan w:val="2"/>
          </w:tcPr>
          <w:p w14:paraId="6DEEAF23" w14:textId="77777777" w:rsidR="00AD0525" w:rsidRDefault="00AD0525" w:rsidP="0012257C">
            <w:pPr>
              <w:pStyle w:val="TableHeading"/>
            </w:pPr>
            <w:r>
              <w:t>Castle Point and Rochford</w:t>
            </w:r>
          </w:p>
        </w:tc>
        <w:tc>
          <w:tcPr>
            <w:tcW w:w="1262" w:type="dxa"/>
            <w:gridSpan w:val="2"/>
          </w:tcPr>
          <w:p w14:paraId="78C1C6F9" w14:textId="77777777" w:rsidR="00AD0525" w:rsidRDefault="00AD0525" w:rsidP="0012257C">
            <w:pPr>
              <w:pStyle w:val="TableHeading"/>
            </w:pPr>
            <w:r>
              <w:t>Mid Essex</w:t>
            </w:r>
          </w:p>
        </w:tc>
        <w:tc>
          <w:tcPr>
            <w:tcW w:w="1323" w:type="dxa"/>
            <w:gridSpan w:val="2"/>
          </w:tcPr>
          <w:p w14:paraId="3CFB4900" w14:textId="77777777" w:rsidR="00AD0525" w:rsidRDefault="00AD0525" w:rsidP="0012257C">
            <w:pPr>
              <w:pStyle w:val="TableHeading"/>
            </w:pPr>
            <w:r>
              <w:t xml:space="preserve">Colchester </w:t>
            </w:r>
          </w:p>
        </w:tc>
        <w:tc>
          <w:tcPr>
            <w:tcW w:w="1262" w:type="dxa"/>
            <w:gridSpan w:val="2"/>
          </w:tcPr>
          <w:p w14:paraId="0F2C594C" w14:textId="77777777" w:rsidR="00AD0525" w:rsidRDefault="00AD0525" w:rsidP="0012257C">
            <w:pPr>
              <w:pStyle w:val="TableHeading"/>
            </w:pPr>
            <w:r>
              <w:t xml:space="preserve">West Essex </w:t>
            </w:r>
          </w:p>
        </w:tc>
        <w:tc>
          <w:tcPr>
            <w:tcW w:w="1317" w:type="dxa"/>
            <w:gridSpan w:val="2"/>
          </w:tcPr>
          <w:p w14:paraId="336A7959" w14:textId="77777777" w:rsidR="00AD0525" w:rsidRDefault="00AD0525" w:rsidP="0012257C">
            <w:pPr>
              <w:pStyle w:val="TableHeading"/>
            </w:pPr>
            <w:r>
              <w:t>Total</w:t>
            </w:r>
          </w:p>
        </w:tc>
      </w:tr>
      <w:tr w:rsidR="00A16768" w:rsidRPr="00742604" w14:paraId="51A93D94" w14:textId="77777777" w:rsidTr="00E80423">
        <w:trPr>
          <w:cnfStyle w:val="100000000000" w:firstRow="1" w:lastRow="0" w:firstColumn="0" w:lastColumn="0" w:oddVBand="0" w:evenVBand="0" w:oddHBand="0" w:evenHBand="0" w:firstRowFirstColumn="0" w:firstRowLastColumn="0" w:lastRowFirstColumn="0" w:lastRowLastColumn="0"/>
          <w:tblHeader/>
        </w:trPr>
        <w:tc>
          <w:tcPr>
            <w:tcW w:w="1975" w:type="dxa"/>
            <w:vMerge/>
          </w:tcPr>
          <w:p w14:paraId="1748DECC" w14:textId="77777777" w:rsidR="00AD0525" w:rsidRPr="00E07CE2" w:rsidRDefault="00AD0525" w:rsidP="0012257C"/>
        </w:tc>
        <w:tc>
          <w:tcPr>
            <w:tcW w:w="635" w:type="dxa"/>
          </w:tcPr>
          <w:p w14:paraId="6197FBEB" w14:textId="77777777" w:rsidR="00AD0525" w:rsidRDefault="00AD0525" w:rsidP="0012257C">
            <w:pPr>
              <w:pStyle w:val="TableHeading"/>
            </w:pPr>
            <w:r>
              <w:t>N</w:t>
            </w:r>
          </w:p>
        </w:tc>
        <w:tc>
          <w:tcPr>
            <w:tcW w:w="690" w:type="dxa"/>
          </w:tcPr>
          <w:p w14:paraId="1EA84EF9" w14:textId="77777777" w:rsidR="00AD0525" w:rsidRDefault="00AD0525" w:rsidP="0012257C">
            <w:pPr>
              <w:pStyle w:val="TableHeading"/>
            </w:pPr>
            <w:r>
              <w:t>%</w:t>
            </w:r>
          </w:p>
        </w:tc>
        <w:tc>
          <w:tcPr>
            <w:tcW w:w="628" w:type="dxa"/>
          </w:tcPr>
          <w:p w14:paraId="39EA6FD0" w14:textId="77777777" w:rsidR="00AD0525" w:rsidRDefault="00AD0525" w:rsidP="0012257C">
            <w:pPr>
              <w:pStyle w:val="TableHeading"/>
            </w:pPr>
            <w:r>
              <w:t>N</w:t>
            </w:r>
          </w:p>
        </w:tc>
        <w:tc>
          <w:tcPr>
            <w:tcW w:w="677" w:type="dxa"/>
          </w:tcPr>
          <w:p w14:paraId="71D051BB" w14:textId="77777777" w:rsidR="00AD0525" w:rsidRDefault="00AD0525" w:rsidP="0012257C">
            <w:pPr>
              <w:pStyle w:val="TableHeading"/>
            </w:pPr>
            <w:r>
              <w:t>%</w:t>
            </w:r>
          </w:p>
        </w:tc>
        <w:tc>
          <w:tcPr>
            <w:tcW w:w="627" w:type="dxa"/>
          </w:tcPr>
          <w:p w14:paraId="5FDC6499" w14:textId="77777777" w:rsidR="00AD0525" w:rsidRDefault="00AD0525" w:rsidP="0012257C">
            <w:pPr>
              <w:pStyle w:val="TableHeading"/>
            </w:pPr>
            <w:r>
              <w:t>N</w:t>
            </w:r>
          </w:p>
        </w:tc>
        <w:tc>
          <w:tcPr>
            <w:tcW w:w="635" w:type="dxa"/>
          </w:tcPr>
          <w:p w14:paraId="250C308E" w14:textId="77777777" w:rsidR="00AD0525" w:rsidRDefault="00AD0525" w:rsidP="0012257C">
            <w:pPr>
              <w:pStyle w:val="TableHeading"/>
            </w:pPr>
            <w:r>
              <w:t>%</w:t>
            </w:r>
          </w:p>
        </w:tc>
        <w:tc>
          <w:tcPr>
            <w:tcW w:w="636" w:type="dxa"/>
          </w:tcPr>
          <w:p w14:paraId="5FAF6B6F" w14:textId="77777777" w:rsidR="00AD0525" w:rsidRDefault="00AD0525" w:rsidP="0012257C">
            <w:pPr>
              <w:pStyle w:val="TableHeading"/>
            </w:pPr>
            <w:r>
              <w:t>N</w:t>
            </w:r>
          </w:p>
        </w:tc>
        <w:tc>
          <w:tcPr>
            <w:tcW w:w="687" w:type="dxa"/>
          </w:tcPr>
          <w:p w14:paraId="67B975D6" w14:textId="77777777" w:rsidR="00AD0525" w:rsidRDefault="00AD0525" w:rsidP="0012257C">
            <w:pPr>
              <w:pStyle w:val="TableHeading"/>
            </w:pPr>
            <w:r>
              <w:t>%</w:t>
            </w:r>
          </w:p>
        </w:tc>
        <w:tc>
          <w:tcPr>
            <w:tcW w:w="627" w:type="dxa"/>
          </w:tcPr>
          <w:p w14:paraId="50EA7DE4" w14:textId="77777777" w:rsidR="00AD0525" w:rsidRDefault="00AD0525" w:rsidP="0012257C">
            <w:pPr>
              <w:pStyle w:val="TableHeading"/>
            </w:pPr>
            <w:r>
              <w:t>N</w:t>
            </w:r>
          </w:p>
        </w:tc>
        <w:tc>
          <w:tcPr>
            <w:tcW w:w="635" w:type="dxa"/>
          </w:tcPr>
          <w:p w14:paraId="4EEC63ED" w14:textId="77777777" w:rsidR="00AD0525" w:rsidRDefault="00AD0525" w:rsidP="0012257C">
            <w:pPr>
              <w:pStyle w:val="TableHeading"/>
            </w:pPr>
            <w:r>
              <w:t>%</w:t>
            </w:r>
          </w:p>
        </w:tc>
        <w:tc>
          <w:tcPr>
            <w:tcW w:w="631" w:type="dxa"/>
          </w:tcPr>
          <w:p w14:paraId="5DC25B9B" w14:textId="77777777" w:rsidR="00AD0525" w:rsidRDefault="00AD0525" w:rsidP="0012257C">
            <w:pPr>
              <w:pStyle w:val="TableHeading"/>
            </w:pPr>
            <w:r>
              <w:t>N</w:t>
            </w:r>
          </w:p>
        </w:tc>
        <w:tc>
          <w:tcPr>
            <w:tcW w:w="686" w:type="dxa"/>
          </w:tcPr>
          <w:p w14:paraId="0441215A" w14:textId="77777777" w:rsidR="00AD0525" w:rsidRDefault="00AD0525" w:rsidP="0012257C">
            <w:pPr>
              <w:pStyle w:val="TableHeading"/>
            </w:pPr>
            <w:r>
              <w:t>%</w:t>
            </w:r>
          </w:p>
        </w:tc>
      </w:tr>
      <w:tr w:rsidR="00A16768" w:rsidRPr="00742604" w14:paraId="299D05C8" w14:textId="77777777" w:rsidTr="00E80423">
        <w:trPr>
          <w:cnfStyle w:val="000000100000" w:firstRow="0" w:lastRow="0" w:firstColumn="0" w:lastColumn="0" w:oddVBand="0" w:evenVBand="0" w:oddHBand="1" w:evenHBand="0" w:firstRowFirstColumn="0" w:firstRowLastColumn="0" w:lastRowFirstColumn="0" w:lastRowLastColumn="0"/>
        </w:trPr>
        <w:tc>
          <w:tcPr>
            <w:tcW w:w="1975" w:type="dxa"/>
          </w:tcPr>
          <w:p w14:paraId="64AC4655" w14:textId="77777777" w:rsidR="00A16768" w:rsidRPr="00E07CE2" w:rsidRDefault="00A16768" w:rsidP="00A16768">
            <w:pPr>
              <w:pStyle w:val="TableParagraph"/>
            </w:pPr>
            <w:r w:rsidRPr="00AD0525">
              <w:t>Hours of support received from a social worker</w:t>
            </w:r>
          </w:p>
        </w:tc>
        <w:tc>
          <w:tcPr>
            <w:tcW w:w="635" w:type="dxa"/>
            <w:vAlign w:val="center"/>
          </w:tcPr>
          <w:p w14:paraId="4013167A" w14:textId="77777777" w:rsidR="00A16768" w:rsidRPr="00A07033" w:rsidRDefault="00A16768" w:rsidP="00A16768">
            <w:pPr>
              <w:pStyle w:val="TableParagraph"/>
              <w:jc w:val="center"/>
            </w:pPr>
            <w:r w:rsidRPr="00A16768">
              <w:t>23</w:t>
            </w:r>
          </w:p>
        </w:tc>
        <w:tc>
          <w:tcPr>
            <w:tcW w:w="690" w:type="dxa"/>
            <w:vAlign w:val="center"/>
          </w:tcPr>
          <w:p w14:paraId="375219DE" w14:textId="77777777" w:rsidR="00A16768" w:rsidRPr="00A07033" w:rsidRDefault="00A16768" w:rsidP="00A16768">
            <w:pPr>
              <w:pStyle w:val="TableParagraph"/>
              <w:jc w:val="center"/>
            </w:pPr>
            <w:r w:rsidRPr="00A16768">
              <w:t>33%</w:t>
            </w:r>
          </w:p>
        </w:tc>
        <w:tc>
          <w:tcPr>
            <w:tcW w:w="628" w:type="dxa"/>
            <w:vAlign w:val="center"/>
          </w:tcPr>
          <w:p w14:paraId="63B7216E" w14:textId="77777777" w:rsidR="00A16768" w:rsidRPr="00A07033" w:rsidRDefault="00A16768" w:rsidP="00A16768">
            <w:pPr>
              <w:pStyle w:val="TableParagraph"/>
              <w:jc w:val="center"/>
            </w:pPr>
            <w:r w:rsidRPr="00A16768">
              <w:t>6</w:t>
            </w:r>
          </w:p>
        </w:tc>
        <w:tc>
          <w:tcPr>
            <w:tcW w:w="677" w:type="dxa"/>
            <w:vAlign w:val="center"/>
          </w:tcPr>
          <w:p w14:paraId="038A5341" w14:textId="77777777" w:rsidR="00A16768" w:rsidRPr="00A07033" w:rsidRDefault="00A16768" w:rsidP="00A16768">
            <w:pPr>
              <w:pStyle w:val="TableParagraph"/>
              <w:jc w:val="center"/>
            </w:pPr>
            <w:r w:rsidRPr="00A16768">
              <w:t>32%</w:t>
            </w:r>
          </w:p>
        </w:tc>
        <w:tc>
          <w:tcPr>
            <w:tcW w:w="627" w:type="dxa"/>
            <w:vAlign w:val="center"/>
          </w:tcPr>
          <w:p w14:paraId="6CA8935E" w14:textId="77777777" w:rsidR="00A16768" w:rsidRPr="00A07033" w:rsidRDefault="00A16768" w:rsidP="00A16768">
            <w:pPr>
              <w:pStyle w:val="TableParagraph"/>
              <w:jc w:val="center"/>
            </w:pPr>
            <w:r w:rsidRPr="00A16768">
              <w:t>0</w:t>
            </w:r>
          </w:p>
        </w:tc>
        <w:tc>
          <w:tcPr>
            <w:tcW w:w="635" w:type="dxa"/>
            <w:vAlign w:val="center"/>
          </w:tcPr>
          <w:p w14:paraId="1A2A642D" w14:textId="77777777" w:rsidR="00A16768" w:rsidRPr="00A07033" w:rsidRDefault="00A16768" w:rsidP="00A16768">
            <w:pPr>
              <w:pStyle w:val="TableParagraph"/>
              <w:jc w:val="center"/>
            </w:pPr>
            <w:r w:rsidRPr="00A16768">
              <w:t>0%</w:t>
            </w:r>
          </w:p>
        </w:tc>
        <w:tc>
          <w:tcPr>
            <w:tcW w:w="636" w:type="dxa"/>
            <w:vAlign w:val="center"/>
          </w:tcPr>
          <w:p w14:paraId="6751E2E5" w14:textId="77777777" w:rsidR="00A16768" w:rsidRPr="00A07033" w:rsidRDefault="00A16768" w:rsidP="00A16768">
            <w:pPr>
              <w:pStyle w:val="TableParagraph"/>
              <w:jc w:val="center"/>
            </w:pPr>
            <w:r w:rsidRPr="00A16768">
              <w:t>3</w:t>
            </w:r>
          </w:p>
        </w:tc>
        <w:tc>
          <w:tcPr>
            <w:tcW w:w="687" w:type="dxa"/>
            <w:vAlign w:val="center"/>
          </w:tcPr>
          <w:p w14:paraId="4B7A4F25" w14:textId="77777777" w:rsidR="00A16768" w:rsidRPr="00A07033" w:rsidRDefault="00A16768" w:rsidP="00A16768">
            <w:pPr>
              <w:pStyle w:val="TableParagraph"/>
              <w:jc w:val="center"/>
            </w:pPr>
            <w:r w:rsidRPr="00A16768">
              <w:t>16%</w:t>
            </w:r>
          </w:p>
        </w:tc>
        <w:tc>
          <w:tcPr>
            <w:tcW w:w="627" w:type="dxa"/>
            <w:vAlign w:val="center"/>
          </w:tcPr>
          <w:p w14:paraId="2E3B241F" w14:textId="77777777" w:rsidR="00A16768" w:rsidRPr="00A07033" w:rsidRDefault="00A16768" w:rsidP="00A16768">
            <w:pPr>
              <w:pStyle w:val="TableParagraph"/>
              <w:jc w:val="center"/>
            </w:pPr>
            <w:r w:rsidRPr="00A16768">
              <w:t>1</w:t>
            </w:r>
          </w:p>
        </w:tc>
        <w:tc>
          <w:tcPr>
            <w:tcW w:w="635" w:type="dxa"/>
            <w:vAlign w:val="center"/>
          </w:tcPr>
          <w:p w14:paraId="2DE57F65" w14:textId="77777777" w:rsidR="00A16768" w:rsidRPr="00A07033" w:rsidRDefault="00A16768" w:rsidP="00A16768">
            <w:pPr>
              <w:pStyle w:val="TableParagraph"/>
              <w:jc w:val="center"/>
            </w:pPr>
            <w:r w:rsidRPr="00A16768">
              <w:t>5%</w:t>
            </w:r>
          </w:p>
        </w:tc>
        <w:tc>
          <w:tcPr>
            <w:tcW w:w="631" w:type="dxa"/>
            <w:vAlign w:val="center"/>
          </w:tcPr>
          <w:p w14:paraId="58552021" w14:textId="77777777" w:rsidR="00A16768" w:rsidRPr="00A07033" w:rsidRDefault="00A16768" w:rsidP="00A16768">
            <w:pPr>
              <w:pStyle w:val="TableParagraph"/>
              <w:jc w:val="center"/>
            </w:pPr>
            <w:r w:rsidRPr="00A16768">
              <w:t>33</w:t>
            </w:r>
          </w:p>
        </w:tc>
        <w:tc>
          <w:tcPr>
            <w:tcW w:w="686" w:type="dxa"/>
            <w:vAlign w:val="center"/>
          </w:tcPr>
          <w:p w14:paraId="54BE750B" w14:textId="77777777" w:rsidR="00A16768" w:rsidRPr="00A07033" w:rsidRDefault="00A16768" w:rsidP="00A16768">
            <w:pPr>
              <w:pStyle w:val="TableParagraph"/>
              <w:jc w:val="center"/>
            </w:pPr>
            <w:r w:rsidRPr="00A16768">
              <w:t>25%</w:t>
            </w:r>
          </w:p>
        </w:tc>
      </w:tr>
    </w:tbl>
    <w:p w14:paraId="07F39AE2" w14:textId="77777777" w:rsidR="00AD0525" w:rsidRDefault="00E80423" w:rsidP="00E80423">
      <w:pPr>
        <w:pStyle w:val="Quote"/>
      </w:pPr>
      <w:r>
        <w:t xml:space="preserve">Source: </w:t>
      </w:r>
      <w:r w:rsidRPr="00E80423">
        <w:t>RSM PACEC Survey</w:t>
      </w:r>
      <w:r>
        <w:t xml:space="preserve"> of Social Prescribing Service Users</w:t>
      </w:r>
      <w:r w:rsidRPr="00E80423">
        <w:t xml:space="preserve"> (2017)</w:t>
      </w:r>
    </w:p>
    <w:p w14:paraId="27897FAF" w14:textId="77777777" w:rsidR="00151217" w:rsidRPr="00081420" w:rsidRDefault="00AD0525" w:rsidP="00AE785D">
      <w:pPr>
        <w:pStyle w:val="BodyText-parastyle"/>
      </w:pPr>
      <w:r w:rsidRPr="00081420">
        <w:t xml:space="preserve">For social care services the table above shows that </w:t>
      </w:r>
      <w:r w:rsidR="00151217" w:rsidRPr="00081420">
        <w:t>25</w:t>
      </w:r>
      <w:r w:rsidRPr="00081420">
        <w:t>% (n=3</w:t>
      </w:r>
      <w:r w:rsidR="00151217" w:rsidRPr="00081420">
        <w:t>3</w:t>
      </w:r>
      <w:r w:rsidRPr="00081420">
        <w:t>) had reported a reduction</w:t>
      </w:r>
      <w:r w:rsidR="00151217" w:rsidRPr="00081420">
        <w:t xml:space="preserve"> in the number of hours spend with a social worker, with the overall number of reported hours reducing by 93.75 hours.</w:t>
      </w:r>
      <w:r w:rsidRPr="00081420">
        <w:t xml:space="preserve"> </w:t>
      </w:r>
    </w:p>
    <w:p w14:paraId="60F41D29" w14:textId="77777777" w:rsidR="00151217" w:rsidRDefault="00151217" w:rsidP="00AE785D">
      <w:pPr>
        <w:pStyle w:val="BodyText-parastyle"/>
      </w:pPr>
      <w:r w:rsidRPr="00151217">
        <w:t xml:space="preserve">Due to the small number of respondents the findings above are not representative or statistically significant. The value of the outcome changes above are recorded in </w:t>
      </w:r>
      <w:r w:rsidRPr="00375A26">
        <w:t xml:space="preserve">section </w:t>
      </w:r>
      <w:r w:rsidR="003702C8">
        <w:t>8</w:t>
      </w:r>
      <w:r w:rsidRPr="00375A26">
        <w:t>.</w:t>
      </w:r>
    </w:p>
    <w:p w14:paraId="100F9DC4" w14:textId="77777777" w:rsidR="00A16768" w:rsidRDefault="00A16768" w:rsidP="00D465F1">
      <w:pPr>
        <w:pStyle w:val="Heading3"/>
      </w:pPr>
      <w:r>
        <w:t xml:space="preserve">Personal Wellbeing </w:t>
      </w:r>
    </w:p>
    <w:p w14:paraId="422422F2" w14:textId="77777777" w:rsidR="00AD0525" w:rsidRPr="00790975" w:rsidRDefault="00AD0525" w:rsidP="00AE785D">
      <w:pPr>
        <w:pStyle w:val="BodyText-parastyle"/>
      </w:pPr>
      <w:r w:rsidRPr="00790975">
        <w:t xml:space="preserve">Respondents were also asked to provide views on their personal wellbeing three months prior to engagement with the service and three months following. The measures used are based on the </w:t>
      </w:r>
      <w:r w:rsidR="00C80F69">
        <w:t>ONS</w:t>
      </w:r>
      <w:r w:rsidRPr="00790975">
        <w:t xml:space="preserve"> four measures of personal well-being: satisfaction with life nowadays, to what extent participants believe the things they do in life are worthwhile, and happiness and anxiety yesterday. In each scenario 0 represented the lowest value, and 10 represented the highest rating. Key findings include:</w:t>
      </w:r>
    </w:p>
    <w:p w14:paraId="7F5D8756" w14:textId="77777777" w:rsidR="00AD0525" w:rsidRPr="00790975" w:rsidRDefault="00AD0525" w:rsidP="00D53262">
      <w:pPr>
        <w:pStyle w:val="ListParagraph"/>
        <w:numPr>
          <w:ilvl w:val="0"/>
          <w:numId w:val="9"/>
        </w:numPr>
        <w:rPr>
          <w:color w:val="00B0F0"/>
        </w:rPr>
      </w:pPr>
      <w:r w:rsidRPr="00790975">
        <w:rPr>
          <w:color w:val="00B0F0"/>
        </w:rPr>
        <w:t xml:space="preserve">Satisfaction with life </w:t>
      </w:r>
      <w:r w:rsidR="00790975" w:rsidRPr="00790975">
        <w:rPr>
          <w:color w:val="00B0F0"/>
        </w:rPr>
        <w:t xml:space="preserve">(n=132) </w:t>
      </w:r>
      <w:r w:rsidRPr="00790975">
        <w:rPr>
          <w:color w:val="00B0F0"/>
        </w:rPr>
        <w:t xml:space="preserve">- </w:t>
      </w:r>
      <w:r w:rsidRPr="00790975">
        <w:t xml:space="preserve">the average satisfaction rating </w:t>
      </w:r>
      <w:r w:rsidR="00210867">
        <w:t>increased by 0.6 and</w:t>
      </w:r>
      <w:r w:rsidR="00790975" w:rsidRPr="00790975">
        <w:t xml:space="preserve"> 50% (n=66) of respondents reported an increase in satisfaction with life</w:t>
      </w:r>
    </w:p>
    <w:p w14:paraId="421DDDE3" w14:textId="77777777" w:rsidR="00AD0525" w:rsidRPr="00790975" w:rsidRDefault="00AD0525" w:rsidP="00D53262">
      <w:pPr>
        <w:pStyle w:val="ListParagraph"/>
        <w:numPr>
          <w:ilvl w:val="0"/>
          <w:numId w:val="9"/>
        </w:numPr>
        <w:rPr>
          <w:color w:val="00B0F0"/>
        </w:rPr>
      </w:pPr>
      <w:r w:rsidRPr="00790975">
        <w:rPr>
          <w:color w:val="00B0F0"/>
        </w:rPr>
        <w:t xml:space="preserve">Feelings of life being worthwhile </w:t>
      </w:r>
      <w:r w:rsidR="00790975">
        <w:rPr>
          <w:color w:val="00B0F0"/>
        </w:rPr>
        <w:t xml:space="preserve">(n=133) </w:t>
      </w:r>
      <w:r w:rsidRPr="00790975">
        <w:rPr>
          <w:color w:val="00B0F0"/>
        </w:rPr>
        <w:t xml:space="preserve">– </w:t>
      </w:r>
      <w:r w:rsidRPr="00790975">
        <w:t>the average ‘worthwhile’ rat</w:t>
      </w:r>
      <w:r w:rsidR="00210867">
        <w:t>ing in</w:t>
      </w:r>
      <w:r w:rsidRPr="00790975">
        <w:t>creased by 0.</w:t>
      </w:r>
      <w:r w:rsidR="00210867">
        <w:t>6 and</w:t>
      </w:r>
      <w:r w:rsidRPr="00790975">
        <w:t xml:space="preserve"> </w:t>
      </w:r>
      <w:r w:rsidR="00790975" w:rsidRPr="00790975">
        <w:t>51%</w:t>
      </w:r>
      <w:r w:rsidR="00790975">
        <w:t xml:space="preserve"> (n=68)</w:t>
      </w:r>
      <w:r w:rsidR="00790975" w:rsidRPr="00790975">
        <w:t xml:space="preserve"> </w:t>
      </w:r>
      <w:r w:rsidR="00790975">
        <w:t xml:space="preserve">of </w:t>
      </w:r>
      <w:r w:rsidR="00790975" w:rsidRPr="00790975">
        <w:t>respondents reported an increase in feelings of life being worthwhile</w:t>
      </w:r>
    </w:p>
    <w:p w14:paraId="0ED619D2" w14:textId="77777777" w:rsidR="00AD0525" w:rsidRPr="00790975" w:rsidRDefault="00AD0525" w:rsidP="00D53262">
      <w:pPr>
        <w:pStyle w:val="ListParagraph"/>
        <w:numPr>
          <w:ilvl w:val="0"/>
          <w:numId w:val="9"/>
        </w:numPr>
        <w:rPr>
          <w:color w:val="00B0F0"/>
        </w:rPr>
      </w:pPr>
      <w:r w:rsidRPr="00790975">
        <w:rPr>
          <w:color w:val="00B0F0"/>
        </w:rPr>
        <w:t xml:space="preserve">Feelings of Happiness </w:t>
      </w:r>
      <w:r w:rsidR="00790975" w:rsidRPr="00790975">
        <w:rPr>
          <w:color w:val="00B0F0"/>
        </w:rPr>
        <w:t xml:space="preserve">(n=133) </w:t>
      </w:r>
      <w:r w:rsidRPr="00790975">
        <w:rPr>
          <w:color w:val="00B0F0"/>
        </w:rPr>
        <w:t xml:space="preserve">- </w:t>
      </w:r>
      <w:r w:rsidRPr="00790975">
        <w:t xml:space="preserve">the average ‘happiness’ rating </w:t>
      </w:r>
      <w:r w:rsidR="00790975" w:rsidRPr="00790975">
        <w:t>increased by 0.</w:t>
      </w:r>
      <w:r w:rsidR="00210867">
        <w:t>5</w:t>
      </w:r>
      <w:r w:rsidR="00790975" w:rsidRPr="00790975">
        <w:t xml:space="preserve"> and 51% (n=68) of respondents reported an increase in feelings of happiness</w:t>
      </w:r>
    </w:p>
    <w:p w14:paraId="46A94449" w14:textId="77777777" w:rsidR="00AD0525" w:rsidRPr="00E17C81" w:rsidRDefault="00AD0525" w:rsidP="00D53262">
      <w:pPr>
        <w:pStyle w:val="ListParagraph"/>
        <w:numPr>
          <w:ilvl w:val="0"/>
          <w:numId w:val="9"/>
        </w:numPr>
        <w:rPr>
          <w:color w:val="00B0F0"/>
        </w:rPr>
      </w:pPr>
      <w:r w:rsidRPr="00790975">
        <w:rPr>
          <w:color w:val="00B0F0"/>
        </w:rPr>
        <w:t>Feelings of Anxiety</w:t>
      </w:r>
      <w:r w:rsidR="00790975" w:rsidRPr="00790975">
        <w:rPr>
          <w:color w:val="00B0F0"/>
        </w:rPr>
        <w:t xml:space="preserve"> (n=131) </w:t>
      </w:r>
      <w:r w:rsidRPr="00790975">
        <w:rPr>
          <w:color w:val="00B0F0"/>
        </w:rPr>
        <w:t xml:space="preserve">- </w:t>
      </w:r>
      <w:r w:rsidRPr="00790975">
        <w:t>the avera</w:t>
      </w:r>
      <w:r w:rsidR="00790975" w:rsidRPr="00790975">
        <w:t>ge anxiety rating decreased by 0</w:t>
      </w:r>
      <w:r w:rsidRPr="00790975">
        <w:t>.</w:t>
      </w:r>
      <w:r w:rsidR="00210867">
        <w:t>2</w:t>
      </w:r>
      <w:r w:rsidRPr="00790975">
        <w:t xml:space="preserve"> with </w:t>
      </w:r>
      <w:r w:rsidR="00790975" w:rsidRPr="00790975">
        <w:t>47%</w:t>
      </w:r>
      <w:r w:rsidR="00081420">
        <w:t xml:space="preserve"> </w:t>
      </w:r>
      <w:r w:rsidR="00790975" w:rsidRPr="00E17C81">
        <w:t xml:space="preserve">(n=61) </w:t>
      </w:r>
      <w:r w:rsidRPr="00E17C81">
        <w:t xml:space="preserve">of respondents </w:t>
      </w:r>
      <w:r w:rsidR="00790975" w:rsidRPr="00E17C81">
        <w:t>reporting a decrease in feelings of anxiety</w:t>
      </w:r>
      <w:r w:rsidRPr="00E17C81">
        <w:t xml:space="preserve"> </w:t>
      </w:r>
    </w:p>
    <w:p w14:paraId="66AD8ACB" w14:textId="77777777" w:rsidR="00081420" w:rsidRDefault="00AD0525" w:rsidP="00AE785D">
      <w:pPr>
        <w:pStyle w:val="BodyText-parastyle"/>
      </w:pPr>
      <w:r w:rsidRPr="00E17C81">
        <w:t xml:space="preserve">Overall the findings indicate </w:t>
      </w:r>
      <w:r w:rsidR="00CF5B58">
        <w:t xml:space="preserve">that at least 47% </w:t>
      </w:r>
      <w:r w:rsidR="00081420" w:rsidRPr="00E17C81">
        <w:t>of respondents experienced a positive change on each of the outcome measures</w:t>
      </w:r>
      <w:r w:rsidR="009F0DC7">
        <w:t xml:space="preserve"> and the average ratings across all respondents improved for each measure. </w:t>
      </w:r>
      <w:r w:rsidR="00BA2DB9">
        <w:t xml:space="preserve"> </w:t>
      </w:r>
    </w:p>
    <w:p w14:paraId="2AB28BA1" w14:textId="4F7A1D26" w:rsidR="00210867" w:rsidRDefault="00210867" w:rsidP="00AE785D">
      <w:pPr>
        <w:pStyle w:val="BodyText-parastyle"/>
      </w:pPr>
      <w:r>
        <w:t xml:space="preserve">Comparison of the average baseline and follow-up wellbeing scores with the ONS averages show that while respondents reported an improvement in each area, they were a ‘medium wellbeing’ group at both stages (ONS categorises medium as a score of 5 – </w:t>
      </w:r>
      <w:r w:rsidR="00C70808">
        <w:t>6 for</w:t>
      </w:r>
      <w:r>
        <w:t xml:space="preserve"> l</w:t>
      </w:r>
      <w:r w:rsidRPr="00210867">
        <w:t>ife satisfaction, worthwhile and happiness scores</w:t>
      </w:r>
      <w:r>
        <w:t xml:space="preserve"> and 4 – 5 for anxiety scores).</w:t>
      </w:r>
      <w:r w:rsidR="00CF5B58" w:rsidRPr="00E17C81">
        <w:t xml:space="preserve"> </w:t>
      </w:r>
    </w:p>
    <w:p w14:paraId="1EA358F6" w14:textId="77777777" w:rsidR="00210867" w:rsidRDefault="00210867"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6</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8</w:t>
      </w:r>
      <w:r w:rsidR="00603E87">
        <w:fldChar w:fldCharType="end"/>
      </w:r>
      <w:r>
        <w:t>: Comparison of Wellbeing Scores with ONS Averages</w:t>
      </w:r>
    </w:p>
    <w:tbl>
      <w:tblPr>
        <w:tblStyle w:val="TableGrid"/>
        <w:tblW w:w="0" w:type="auto"/>
        <w:tblLook w:val="04A0" w:firstRow="1" w:lastRow="0" w:firstColumn="1" w:lastColumn="0" w:noHBand="0" w:noVBand="1"/>
      </w:tblPr>
      <w:tblGrid>
        <w:gridCol w:w="2887"/>
        <w:gridCol w:w="2294"/>
        <w:gridCol w:w="2294"/>
        <w:gridCol w:w="2294"/>
      </w:tblGrid>
      <w:tr w:rsidR="00210867" w14:paraId="549A7A14" w14:textId="77777777" w:rsidTr="00210867">
        <w:trPr>
          <w:cnfStyle w:val="100000000000" w:firstRow="1" w:lastRow="0" w:firstColumn="0" w:lastColumn="0" w:oddVBand="0" w:evenVBand="0" w:oddHBand="0" w:evenHBand="0" w:firstRowFirstColumn="0" w:firstRowLastColumn="0" w:lastRowFirstColumn="0" w:lastRowLastColumn="0"/>
        </w:trPr>
        <w:tc>
          <w:tcPr>
            <w:tcW w:w="2887" w:type="dxa"/>
          </w:tcPr>
          <w:p w14:paraId="7B98950E" w14:textId="77777777" w:rsidR="00210867" w:rsidRDefault="00210867" w:rsidP="00AE785D">
            <w:pPr>
              <w:pStyle w:val="BodyText-parastyle"/>
            </w:pPr>
          </w:p>
        </w:tc>
        <w:tc>
          <w:tcPr>
            <w:tcW w:w="2294" w:type="dxa"/>
          </w:tcPr>
          <w:p w14:paraId="279B2310" w14:textId="77777777" w:rsidR="00210867" w:rsidRDefault="00210867" w:rsidP="00210867">
            <w:pPr>
              <w:pStyle w:val="TableHeading"/>
            </w:pPr>
            <w:r>
              <w:t xml:space="preserve">ONS Average </w:t>
            </w:r>
          </w:p>
        </w:tc>
        <w:tc>
          <w:tcPr>
            <w:tcW w:w="2294" w:type="dxa"/>
          </w:tcPr>
          <w:p w14:paraId="059CE2B9" w14:textId="77777777" w:rsidR="00210867" w:rsidRDefault="00210867" w:rsidP="00210867">
            <w:pPr>
              <w:pStyle w:val="TableHeading"/>
            </w:pPr>
            <w:r>
              <w:t xml:space="preserve">Baseline Average </w:t>
            </w:r>
          </w:p>
        </w:tc>
        <w:tc>
          <w:tcPr>
            <w:tcW w:w="2294" w:type="dxa"/>
          </w:tcPr>
          <w:p w14:paraId="6EB298BD" w14:textId="77777777" w:rsidR="00210867" w:rsidRDefault="00210867" w:rsidP="00210867">
            <w:pPr>
              <w:pStyle w:val="TableHeading"/>
            </w:pPr>
            <w:r>
              <w:t xml:space="preserve">Follow-up Average </w:t>
            </w:r>
          </w:p>
        </w:tc>
      </w:tr>
      <w:tr w:rsidR="00210867" w14:paraId="5AC51BED" w14:textId="77777777" w:rsidTr="00210867">
        <w:trPr>
          <w:cnfStyle w:val="000000100000" w:firstRow="0" w:lastRow="0" w:firstColumn="0" w:lastColumn="0" w:oddVBand="0" w:evenVBand="0" w:oddHBand="1" w:evenHBand="0" w:firstRowFirstColumn="0" w:firstRowLastColumn="0" w:lastRowFirstColumn="0" w:lastRowLastColumn="0"/>
        </w:trPr>
        <w:tc>
          <w:tcPr>
            <w:tcW w:w="2887" w:type="dxa"/>
          </w:tcPr>
          <w:p w14:paraId="454A2F00" w14:textId="77777777" w:rsidR="00210867" w:rsidRDefault="00210867" w:rsidP="00210867">
            <w:pPr>
              <w:pStyle w:val="TableParagraph"/>
            </w:pPr>
            <w:r w:rsidRPr="00210867">
              <w:t>Satisfaction with life</w:t>
            </w:r>
          </w:p>
        </w:tc>
        <w:tc>
          <w:tcPr>
            <w:tcW w:w="2294" w:type="dxa"/>
          </w:tcPr>
          <w:p w14:paraId="49F9F5C1" w14:textId="77777777" w:rsidR="00210867" w:rsidRDefault="00210867" w:rsidP="009F0DC7">
            <w:pPr>
              <w:pStyle w:val="TableParagraph"/>
              <w:jc w:val="center"/>
            </w:pPr>
            <w:r w:rsidRPr="00210867">
              <w:t>7.7 out of 10</w:t>
            </w:r>
          </w:p>
        </w:tc>
        <w:tc>
          <w:tcPr>
            <w:tcW w:w="2294" w:type="dxa"/>
          </w:tcPr>
          <w:p w14:paraId="1555D664" w14:textId="77777777" w:rsidR="00210867" w:rsidRDefault="00210867" w:rsidP="009F0DC7">
            <w:pPr>
              <w:pStyle w:val="TableParagraph"/>
              <w:jc w:val="center"/>
            </w:pPr>
            <w:r>
              <w:t>5.0</w:t>
            </w:r>
          </w:p>
        </w:tc>
        <w:tc>
          <w:tcPr>
            <w:tcW w:w="2294" w:type="dxa"/>
          </w:tcPr>
          <w:p w14:paraId="190E75AD" w14:textId="77777777" w:rsidR="00210867" w:rsidRDefault="00210867" w:rsidP="009F0DC7">
            <w:pPr>
              <w:pStyle w:val="TableParagraph"/>
              <w:jc w:val="center"/>
            </w:pPr>
            <w:r>
              <w:t>5.6</w:t>
            </w:r>
          </w:p>
        </w:tc>
      </w:tr>
      <w:tr w:rsidR="00210867" w14:paraId="06FBF196" w14:textId="77777777" w:rsidTr="00210867">
        <w:trPr>
          <w:cnfStyle w:val="000000010000" w:firstRow="0" w:lastRow="0" w:firstColumn="0" w:lastColumn="0" w:oddVBand="0" w:evenVBand="0" w:oddHBand="0" w:evenHBand="1" w:firstRowFirstColumn="0" w:firstRowLastColumn="0" w:lastRowFirstColumn="0" w:lastRowLastColumn="0"/>
        </w:trPr>
        <w:tc>
          <w:tcPr>
            <w:tcW w:w="2887" w:type="dxa"/>
          </w:tcPr>
          <w:p w14:paraId="56CD4822" w14:textId="77777777" w:rsidR="00210867" w:rsidRDefault="00210867" w:rsidP="00210867">
            <w:pPr>
              <w:pStyle w:val="TableParagraph"/>
            </w:pPr>
            <w:r w:rsidRPr="00210867">
              <w:t>Feelings of life being worthwhile</w:t>
            </w:r>
          </w:p>
        </w:tc>
        <w:tc>
          <w:tcPr>
            <w:tcW w:w="2294" w:type="dxa"/>
          </w:tcPr>
          <w:p w14:paraId="1C5535EB" w14:textId="77777777" w:rsidR="00210867" w:rsidRDefault="00210867" w:rsidP="009F0DC7">
            <w:pPr>
              <w:pStyle w:val="TableParagraph"/>
              <w:jc w:val="center"/>
            </w:pPr>
            <w:r w:rsidRPr="00210867">
              <w:t>7.9 out of 10</w:t>
            </w:r>
          </w:p>
        </w:tc>
        <w:tc>
          <w:tcPr>
            <w:tcW w:w="2294" w:type="dxa"/>
          </w:tcPr>
          <w:p w14:paraId="0C022BA0" w14:textId="77777777" w:rsidR="00210867" w:rsidRDefault="00210867" w:rsidP="009F0DC7">
            <w:pPr>
              <w:pStyle w:val="TableParagraph"/>
              <w:jc w:val="center"/>
            </w:pPr>
            <w:r>
              <w:t>5.3</w:t>
            </w:r>
          </w:p>
        </w:tc>
        <w:tc>
          <w:tcPr>
            <w:tcW w:w="2294" w:type="dxa"/>
          </w:tcPr>
          <w:p w14:paraId="4A5055E4" w14:textId="77777777" w:rsidR="00210867" w:rsidRDefault="00210867" w:rsidP="009F0DC7">
            <w:pPr>
              <w:pStyle w:val="TableParagraph"/>
              <w:jc w:val="center"/>
            </w:pPr>
            <w:r>
              <w:t>5.9</w:t>
            </w:r>
          </w:p>
        </w:tc>
      </w:tr>
      <w:tr w:rsidR="00210867" w14:paraId="4DF9964F" w14:textId="77777777" w:rsidTr="00210867">
        <w:trPr>
          <w:cnfStyle w:val="000000100000" w:firstRow="0" w:lastRow="0" w:firstColumn="0" w:lastColumn="0" w:oddVBand="0" w:evenVBand="0" w:oddHBand="1" w:evenHBand="0" w:firstRowFirstColumn="0" w:firstRowLastColumn="0" w:lastRowFirstColumn="0" w:lastRowLastColumn="0"/>
        </w:trPr>
        <w:tc>
          <w:tcPr>
            <w:tcW w:w="2887" w:type="dxa"/>
          </w:tcPr>
          <w:p w14:paraId="0A6FAE3C" w14:textId="77777777" w:rsidR="00210867" w:rsidRDefault="00210867" w:rsidP="00210867">
            <w:pPr>
              <w:pStyle w:val="TableParagraph"/>
            </w:pPr>
            <w:r w:rsidRPr="00210867">
              <w:t>Feelings of Happiness</w:t>
            </w:r>
          </w:p>
        </w:tc>
        <w:tc>
          <w:tcPr>
            <w:tcW w:w="2294" w:type="dxa"/>
          </w:tcPr>
          <w:p w14:paraId="797BE3BF" w14:textId="77777777" w:rsidR="00210867" w:rsidRDefault="00210867" w:rsidP="009F0DC7">
            <w:pPr>
              <w:pStyle w:val="TableParagraph"/>
              <w:jc w:val="center"/>
            </w:pPr>
            <w:r w:rsidRPr="00210867">
              <w:t>7.5 out of 10</w:t>
            </w:r>
          </w:p>
        </w:tc>
        <w:tc>
          <w:tcPr>
            <w:tcW w:w="2294" w:type="dxa"/>
          </w:tcPr>
          <w:p w14:paraId="20DD202F" w14:textId="77777777" w:rsidR="00210867" w:rsidRDefault="00210867" w:rsidP="009F0DC7">
            <w:pPr>
              <w:pStyle w:val="TableParagraph"/>
              <w:jc w:val="center"/>
            </w:pPr>
            <w:r>
              <w:t>5.2</w:t>
            </w:r>
          </w:p>
        </w:tc>
        <w:tc>
          <w:tcPr>
            <w:tcW w:w="2294" w:type="dxa"/>
          </w:tcPr>
          <w:p w14:paraId="5E28600C" w14:textId="77777777" w:rsidR="00210867" w:rsidRDefault="00210867" w:rsidP="009F0DC7">
            <w:pPr>
              <w:pStyle w:val="TableParagraph"/>
              <w:jc w:val="center"/>
            </w:pPr>
            <w:r>
              <w:t>5.7</w:t>
            </w:r>
          </w:p>
        </w:tc>
      </w:tr>
      <w:tr w:rsidR="00210867" w14:paraId="4376EE1B" w14:textId="77777777" w:rsidTr="00210867">
        <w:trPr>
          <w:cnfStyle w:val="000000010000" w:firstRow="0" w:lastRow="0" w:firstColumn="0" w:lastColumn="0" w:oddVBand="0" w:evenVBand="0" w:oddHBand="0" w:evenHBand="1" w:firstRowFirstColumn="0" w:firstRowLastColumn="0" w:lastRowFirstColumn="0" w:lastRowLastColumn="0"/>
        </w:trPr>
        <w:tc>
          <w:tcPr>
            <w:tcW w:w="2887" w:type="dxa"/>
          </w:tcPr>
          <w:p w14:paraId="7B082864" w14:textId="77777777" w:rsidR="00210867" w:rsidRDefault="00210867" w:rsidP="00210867">
            <w:pPr>
              <w:pStyle w:val="TableParagraph"/>
            </w:pPr>
            <w:r w:rsidRPr="00210867">
              <w:t>Feelings of Anxiety</w:t>
            </w:r>
          </w:p>
        </w:tc>
        <w:tc>
          <w:tcPr>
            <w:tcW w:w="2294" w:type="dxa"/>
          </w:tcPr>
          <w:p w14:paraId="0302806A" w14:textId="77777777" w:rsidR="00210867" w:rsidRDefault="00210867" w:rsidP="009F0DC7">
            <w:pPr>
              <w:pStyle w:val="TableParagraph"/>
              <w:jc w:val="center"/>
            </w:pPr>
            <w:r w:rsidRPr="00210867">
              <w:t>2.9 out of 10</w:t>
            </w:r>
          </w:p>
        </w:tc>
        <w:tc>
          <w:tcPr>
            <w:tcW w:w="2294" w:type="dxa"/>
          </w:tcPr>
          <w:p w14:paraId="12050E32" w14:textId="77777777" w:rsidR="00210867" w:rsidRDefault="00210867" w:rsidP="009F0DC7">
            <w:pPr>
              <w:pStyle w:val="TableParagraph"/>
              <w:jc w:val="center"/>
            </w:pPr>
            <w:r>
              <w:t>4.4</w:t>
            </w:r>
          </w:p>
        </w:tc>
        <w:tc>
          <w:tcPr>
            <w:tcW w:w="2294" w:type="dxa"/>
          </w:tcPr>
          <w:p w14:paraId="66FE43AB" w14:textId="77777777" w:rsidR="00210867" w:rsidRDefault="00210867" w:rsidP="009F0DC7">
            <w:pPr>
              <w:pStyle w:val="TableParagraph"/>
              <w:jc w:val="center"/>
            </w:pPr>
            <w:r>
              <w:t>4.1</w:t>
            </w:r>
          </w:p>
        </w:tc>
      </w:tr>
    </w:tbl>
    <w:p w14:paraId="44996CBB" w14:textId="77777777" w:rsidR="00CF5B58" w:rsidRDefault="00210867" w:rsidP="00E80423">
      <w:pPr>
        <w:pStyle w:val="Quote"/>
      </w:pPr>
      <w:r>
        <w:t xml:space="preserve">Source: </w:t>
      </w:r>
      <w:hyperlink r:id="rId16" w:history="1">
        <w:r w:rsidRPr="00AF159B">
          <w:rPr>
            <w:rStyle w:val="Hyperlink"/>
          </w:rPr>
          <w:t>https://www.ons.gov.uk/peoplepopulationandcommunity/wellbeing/bulletins/measuringnationalwellbeing/jantodec2016</w:t>
        </w:r>
      </w:hyperlink>
      <w:r>
        <w:t xml:space="preserve"> / </w:t>
      </w:r>
      <w:r w:rsidR="00E80423">
        <w:t xml:space="preserve">Source: </w:t>
      </w:r>
      <w:r w:rsidR="00E80423" w:rsidRPr="00E80423">
        <w:t>RSM PACEC Survey</w:t>
      </w:r>
      <w:r w:rsidR="00E80423">
        <w:t xml:space="preserve"> of Social Prescribing Service Users</w:t>
      </w:r>
      <w:r w:rsidR="00E80423" w:rsidRPr="00E80423">
        <w:t xml:space="preserve"> (2017)</w:t>
      </w:r>
    </w:p>
    <w:p w14:paraId="4CED237D" w14:textId="77777777" w:rsidR="00AD0525" w:rsidRDefault="00AD0525" w:rsidP="00D465F1">
      <w:pPr>
        <w:pStyle w:val="Heading3"/>
      </w:pPr>
      <w:r w:rsidRPr="00B8424F">
        <w:t>General Health</w:t>
      </w:r>
    </w:p>
    <w:p w14:paraId="40775F48" w14:textId="77777777" w:rsidR="00AD0525" w:rsidRPr="00910AE3" w:rsidRDefault="00AD0525" w:rsidP="00AE785D">
      <w:pPr>
        <w:pStyle w:val="BodyText-parastyle"/>
      </w:pPr>
      <w:r w:rsidRPr="00910AE3">
        <w:t xml:space="preserve">Respondents were asked to provide views on their general health three months prior to engagement with the service and in three months following engagement using EQ-5D components: mobility; self-care; usual activities; pain/discomfort; and anxiety / depression. </w:t>
      </w:r>
    </w:p>
    <w:p w14:paraId="3E8F2413" w14:textId="77777777" w:rsidR="00AD0525" w:rsidRPr="0066513B" w:rsidRDefault="00AD0525" w:rsidP="00AE785D">
      <w:pPr>
        <w:pStyle w:val="BodyText-parastyle"/>
      </w:pPr>
      <w:r w:rsidRPr="00910AE3">
        <w:t xml:space="preserve">The responses show the following self-reported results for each of the five areas over a </w:t>
      </w:r>
      <w:r w:rsidRPr="0066513B">
        <w:t xml:space="preserve">three month period: </w:t>
      </w:r>
    </w:p>
    <w:p w14:paraId="1467BB5B" w14:textId="77777777" w:rsidR="00AD0525" w:rsidRPr="0066513B" w:rsidRDefault="00AD0525" w:rsidP="00D53262">
      <w:pPr>
        <w:pStyle w:val="ListParagraph"/>
      </w:pPr>
      <w:r w:rsidRPr="0066513B">
        <w:rPr>
          <w:color w:val="00B0F0"/>
        </w:rPr>
        <w:t>Mobility</w:t>
      </w:r>
      <w:r w:rsidRPr="0066513B">
        <w:t xml:space="preserve"> – there was a small </w:t>
      </w:r>
      <w:r w:rsidR="00BB6A13" w:rsidRPr="0066513B">
        <w:t>improvement</w:t>
      </w:r>
      <w:r w:rsidRPr="0066513B">
        <w:t xml:space="preserve"> between baseline and follow-up with a 5% (n=</w:t>
      </w:r>
      <w:r w:rsidR="00BB6A13" w:rsidRPr="0066513B">
        <w:t>7</w:t>
      </w:r>
      <w:r w:rsidRPr="0066513B">
        <w:t xml:space="preserve">) </w:t>
      </w:r>
      <w:r w:rsidR="00BB6A13" w:rsidRPr="0066513B">
        <w:t xml:space="preserve">increase </w:t>
      </w:r>
      <w:r w:rsidRPr="0066513B">
        <w:t xml:space="preserve">in respondents stating they have no problems walking about </w:t>
      </w:r>
    </w:p>
    <w:p w14:paraId="6A8B4C5A" w14:textId="77777777" w:rsidR="00AD0525" w:rsidRPr="0066513B" w:rsidRDefault="00AD0525" w:rsidP="00D53262">
      <w:pPr>
        <w:pStyle w:val="ListParagraph"/>
      </w:pPr>
      <w:r w:rsidRPr="0066513B">
        <w:rPr>
          <w:color w:val="00B0F0"/>
        </w:rPr>
        <w:t xml:space="preserve">Self-Care </w:t>
      </w:r>
      <w:r w:rsidR="0066513B" w:rsidRPr="0066513B">
        <w:t>- there was a small</w:t>
      </w:r>
      <w:r w:rsidRPr="0066513B">
        <w:t xml:space="preserve"> improvement between baseline and follow-up with a</w:t>
      </w:r>
      <w:r w:rsidR="0066513B" w:rsidRPr="0066513B">
        <w:t>n 8% (n=10</w:t>
      </w:r>
      <w:r w:rsidRPr="0066513B">
        <w:t xml:space="preserve">) increase in respondents stating they have no problems with self-care </w:t>
      </w:r>
    </w:p>
    <w:p w14:paraId="7CFCFEAB" w14:textId="77777777" w:rsidR="0066513B" w:rsidRPr="0066513B" w:rsidRDefault="00AD0525" w:rsidP="00D53262">
      <w:pPr>
        <w:pStyle w:val="ListParagraph"/>
      </w:pPr>
      <w:r w:rsidRPr="0066513B">
        <w:rPr>
          <w:color w:val="00B0F0"/>
        </w:rPr>
        <w:t xml:space="preserve">Usual Activities </w:t>
      </w:r>
      <w:r w:rsidRPr="0066513B">
        <w:t>- there was a</w:t>
      </w:r>
      <w:r w:rsidR="0066513B" w:rsidRPr="0066513B">
        <w:t xml:space="preserve"> small</w:t>
      </w:r>
      <w:r w:rsidRPr="0066513B">
        <w:t xml:space="preserve"> improvement between baseline and follow-up </w:t>
      </w:r>
      <w:r w:rsidR="0066513B" w:rsidRPr="0066513B">
        <w:t xml:space="preserve">with a 5% (n=7) increase in respondents stating they have no problems performing their usual activities </w:t>
      </w:r>
    </w:p>
    <w:p w14:paraId="10C2EE7E" w14:textId="77777777" w:rsidR="00AD0525" w:rsidRPr="0066513B" w:rsidRDefault="00AD0525" w:rsidP="00D53262">
      <w:pPr>
        <w:pStyle w:val="ListParagraph"/>
      </w:pPr>
      <w:r w:rsidRPr="0066513B">
        <w:rPr>
          <w:color w:val="00B0F0"/>
        </w:rPr>
        <w:t xml:space="preserve">Pain / Discomfort </w:t>
      </w:r>
      <w:r w:rsidRPr="0066513B">
        <w:t>– there was a</w:t>
      </w:r>
      <w:r w:rsidR="0066513B" w:rsidRPr="0066513B">
        <w:t xml:space="preserve">n improvement </w:t>
      </w:r>
      <w:r w:rsidRPr="0066513B">
        <w:t xml:space="preserve">between baseline and follow-up </w:t>
      </w:r>
      <w:r w:rsidR="0066513B" w:rsidRPr="0066513B">
        <w:t xml:space="preserve">with a 15% (n=20) increase in respondents stating they have no pain or discomfort </w:t>
      </w:r>
    </w:p>
    <w:p w14:paraId="214421BB" w14:textId="77777777" w:rsidR="00AD0525" w:rsidRPr="0066513B" w:rsidRDefault="00AD0525" w:rsidP="00D53262">
      <w:pPr>
        <w:pStyle w:val="ListParagraph"/>
      </w:pPr>
      <w:r w:rsidRPr="0066513B">
        <w:rPr>
          <w:color w:val="00B0F0"/>
        </w:rPr>
        <w:t xml:space="preserve">Anxiety / Depression </w:t>
      </w:r>
      <w:r w:rsidRPr="0066513B">
        <w:t xml:space="preserve">- there was an improvement between baseline and follow-up </w:t>
      </w:r>
      <w:r w:rsidR="0066513B" w:rsidRPr="0066513B">
        <w:t>with a 15% (n=20) increase in respondents stating they were not anxious or depressed</w:t>
      </w:r>
    </w:p>
    <w:p w14:paraId="4DCEC120" w14:textId="77777777" w:rsidR="00AD0525" w:rsidRDefault="00AD0525" w:rsidP="00AE785D">
      <w:pPr>
        <w:pStyle w:val="BodyText-parastyle"/>
      </w:pPr>
      <w:r w:rsidRPr="00B232E8">
        <w:t xml:space="preserve">Respondents were also asked to rate their health on a scale of 1 – 100 where one is indicative of poor health, and one-hundred is indicative of the best possible health. Overall there was a self-reported improvement in general health with a decrease in scores rated less than 50 (decrease of </w:t>
      </w:r>
      <w:r w:rsidR="00B232E8" w:rsidRPr="00B232E8">
        <w:t>20</w:t>
      </w:r>
      <w:r w:rsidRPr="00B232E8">
        <w:t xml:space="preserve">%) and an increase in scores rated above 50 (increase of </w:t>
      </w:r>
      <w:r w:rsidR="00B232E8" w:rsidRPr="00B232E8">
        <w:t>20</w:t>
      </w:r>
      <w:r w:rsidRPr="00B232E8">
        <w:t>%).</w:t>
      </w:r>
      <w:r w:rsidRPr="00717083">
        <w:t xml:space="preserve">  </w:t>
      </w:r>
    </w:p>
    <w:p w14:paraId="0FD3B953" w14:textId="77777777" w:rsidR="00AD0525" w:rsidRDefault="00AD0525" w:rsidP="00D465F1">
      <w:pPr>
        <w:pStyle w:val="Heading3"/>
      </w:pPr>
      <w:r w:rsidRPr="00B8424F">
        <w:t>Mental Health</w:t>
      </w:r>
    </w:p>
    <w:p w14:paraId="487970AE" w14:textId="77777777" w:rsidR="00AD0525" w:rsidRPr="00B232E8" w:rsidRDefault="00AD0525" w:rsidP="00AE785D">
      <w:pPr>
        <w:pStyle w:val="BodyText-parastyle"/>
      </w:pPr>
      <w:r w:rsidRPr="00B232E8">
        <w:t xml:space="preserve">Respondents were asked to rate their perceived quality of mental health based on the short Warwick-Edinburgh scale where “none of the time”, is indicative of poorer mental health, and “all of the time” is indicative of better mental health. The responses show the following self-reported results in areas linked to mental health: </w:t>
      </w:r>
    </w:p>
    <w:p w14:paraId="75E4A0A5" w14:textId="77777777" w:rsidR="00ED0A27" w:rsidRPr="00A16768" w:rsidRDefault="00CC4C58" w:rsidP="00D53262">
      <w:pPr>
        <w:pStyle w:val="ListParagraph"/>
        <w:rPr>
          <w:lang w:val="en-GB"/>
        </w:rPr>
      </w:pPr>
      <w:r w:rsidRPr="00A16768">
        <w:rPr>
          <w:color w:val="00B0F0"/>
        </w:rPr>
        <w:t>I’ve been feeling optimistic about the future (n=131)</w:t>
      </w:r>
      <w:r w:rsidRPr="00A16768">
        <w:t xml:space="preserve"> – 21% increase in respondents that felt optimistic all or some of the time</w:t>
      </w:r>
    </w:p>
    <w:p w14:paraId="5EF3C72F" w14:textId="77777777" w:rsidR="00ED0A27" w:rsidRPr="00A16768" w:rsidRDefault="00CC4C58" w:rsidP="00D53262">
      <w:pPr>
        <w:pStyle w:val="ListParagraph"/>
        <w:rPr>
          <w:lang w:val="en-GB"/>
        </w:rPr>
      </w:pPr>
      <w:r w:rsidRPr="00A16768">
        <w:rPr>
          <w:color w:val="00B0F0"/>
        </w:rPr>
        <w:t>I’ve been feeling useful (n=130)</w:t>
      </w:r>
      <w:r w:rsidRPr="00A16768">
        <w:t xml:space="preserve"> – 21% increase in respondents that felt useful often or all of the time</w:t>
      </w:r>
    </w:p>
    <w:p w14:paraId="492D4FFB" w14:textId="77777777" w:rsidR="00ED0A27" w:rsidRPr="00A16768" w:rsidRDefault="00CC4C58" w:rsidP="00D53262">
      <w:pPr>
        <w:pStyle w:val="ListParagraph"/>
        <w:rPr>
          <w:lang w:val="en-GB"/>
        </w:rPr>
      </w:pPr>
      <w:r w:rsidRPr="00A16768">
        <w:rPr>
          <w:color w:val="00B0F0"/>
        </w:rPr>
        <w:t>I’ve been feeling relaxed (n=131)</w:t>
      </w:r>
      <w:r w:rsidRPr="00A16768">
        <w:t xml:space="preserve"> – 18% increase in respondent that felt relaxed often or all of the time</w:t>
      </w:r>
    </w:p>
    <w:p w14:paraId="6A623E53" w14:textId="77777777" w:rsidR="00ED0A27" w:rsidRPr="00A16768" w:rsidRDefault="00CC4C58" w:rsidP="00D53262">
      <w:pPr>
        <w:pStyle w:val="ListParagraph"/>
        <w:rPr>
          <w:lang w:val="en-GB"/>
        </w:rPr>
      </w:pPr>
      <w:r w:rsidRPr="00A16768">
        <w:rPr>
          <w:color w:val="00B0F0"/>
        </w:rPr>
        <w:t>I’ve been dealing with problems well (n=131)</w:t>
      </w:r>
      <w:r w:rsidRPr="00A16768">
        <w:t xml:space="preserve"> – 19% increase in respondents that felt they could deal with problems well often or all of the time</w:t>
      </w:r>
    </w:p>
    <w:p w14:paraId="55FDF6CE" w14:textId="77777777" w:rsidR="00ED0A27" w:rsidRPr="00A16768" w:rsidRDefault="00CC4C58" w:rsidP="00D53262">
      <w:pPr>
        <w:pStyle w:val="ListParagraph"/>
        <w:rPr>
          <w:lang w:val="en-GB"/>
        </w:rPr>
      </w:pPr>
      <w:r w:rsidRPr="00A16768">
        <w:rPr>
          <w:color w:val="00B0F0"/>
        </w:rPr>
        <w:t>I’ve been thinking clearly (n=130)</w:t>
      </w:r>
      <w:r w:rsidRPr="00A16768">
        <w:t xml:space="preserve"> – 12% increase in respondents that stated they thought clearly often or all of the time</w:t>
      </w:r>
    </w:p>
    <w:p w14:paraId="0AF211F5" w14:textId="77777777" w:rsidR="00ED0A27" w:rsidRPr="00A16768" w:rsidRDefault="00CC4C58" w:rsidP="00D53262">
      <w:pPr>
        <w:pStyle w:val="ListParagraph"/>
        <w:rPr>
          <w:lang w:val="en-GB"/>
        </w:rPr>
      </w:pPr>
      <w:r w:rsidRPr="00A16768">
        <w:rPr>
          <w:color w:val="00B0F0"/>
        </w:rPr>
        <w:t>I’ve been feeling close to other people (n=131)</w:t>
      </w:r>
      <w:r w:rsidRPr="00A16768">
        <w:t xml:space="preserve"> – 21% increase in respondents that stated they felt close to other people often or all of the time</w:t>
      </w:r>
    </w:p>
    <w:p w14:paraId="03A7A4AC" w14:textId="77777777" w:rsidR="00A16768" w:rsidRPr="00A16768" w:rsidRDefault="00CC4C58" w:rsidP="00D53262">
      <w:pPr>
        <w:pStyle w:val="ListParagraph"/>
        <w:rPr>
          <w:lang w:val="en-GB"/>
        </w:rPr>
      </w:pPr>
      <w:r w:rsidRPr="00A16768">
        <w:rPr>
          <w:color w:val="00B0F0"/>
        </w:rPr>
        <w:t>I’ve been able to make up my own mind about things (n=129)</w:t>
      </w:r>
      <w:r w:rsidRPr="00A16768">
        <w:t xml:space="preserve"> – 5% increase in respondents that felt able to able to make up their own mind often or all of the time</w:t>
      </w:r>
    </w:p>
    <w:p w14:paraId="51650498" w14:textId="77777777" w:rsidR="00AD0525" w:rsidRPr="00B232E8" w:rsidRDefault="00AD0525" w:rsidP="00AE785D">
      <w:pPr>
        <w:pStyle w:val="BodyText-parastyle"/>
      </w:pPr>
      <w:r w:rsidRPr="00B232E8">
        <w:t>Respondents were also asked to rate their social contact / interaction with others at baseline and follow-up. Responses indicated that:</w:t>
      </w:r>
    </w:p>
    <w:p w14:paraId="2B6E1835" w14:textId="11D776D5" w:rsidR="00AD0525" w:rsidRPr="00B232E8" w:rsidRDefault="00B232E8" w:rsidP="00D53262">
      <w:pPr>
        <w:pStyle w:val="ListParagraph"/>
      </w:pPr>
      <w:r w:rsidRPr="00B232E8">
        <w:t xml:space="preserve">There was no change </w:t>
      </w:r>
      <w:r w:rsidR="00AD0525" w:rsidRPr="00B232E8">
        <w:t xml:space="preserve">in the number of people that stated they had as much social contact with people as they would </w:t>
      </w:r>
      <w:r w:rsidR="00C70808" w:rsidRPr="00B232E8">
        <w:t>like;</w:t>
      </w:r>
    </w:p>
    <w:p w14:paraId="39A36CB1" w14:textId="77777777" w:rsidR="00AD0525" w:rsidRPr="00B232E8" w:rsidRDefault="00AD0525" w:rsidP="00D53262">
      <w:pPr>
        <w:pStyle w:val="ListParagraph"/>
      </w:pPr>
      <w:r w:rsidRPr="00B232E8">
        <w:t>There was a small increase (</w:t>
      </w:r>
      <w:r w:rsidR="00B232E8" w:rsidRPr="00B232E8">
        <w:t>10</w:t>
      </w:r>
      <w:r w:rsidRPr="00B232E8">
        <w:t>% (n=1</w:t>
      </w:r>
      <w:r w:rsidR="00B232E8" w:rsidRPr="00B232E8">
        <w:t>3</w:t>
      </w:r>
      <w:r w:rsidRPr="00B232E8">
        <w:t>)) in the number of people that said they had adequate social contact with people</w:t>
      </w:r>
      <w:r w:rsidR="00E80423">
        <w:t>;</w:t>
      </w:r>
    </w:p>
    <w:p w14:paraId="4D8D880F" w14:textId="77777777" w:rsidR="00AD0525" w:rsidRPr="00B232E8" w:rsidRDefault="00AD0525" w:rsidP="00D53262">
      <w:pPr>
        <w:pStyle w:val="ListParagraph"/>
      </w:pPr>
      <w:r w:rsidRPr="00B232E8">
        <w:t>There was a</w:t>
      </w:r>
      <w:r w:rsidR="00B232E8" w:rsidRPr="00B232E8">
        <w:t xml:space="preserve"> very small increase</w:t>
      </w:r>
      <w:r w:rsidRPr="00B232E8">
        <w:t xml:space="preserve"> (</w:t>
      </w:r>
      <w:r w:rsidR="00B232E8" w:rsidRPr="00B232E8">
        <w:t>1</w:t>
      </w:r>
      <w:r w:rsidRPr="00B232E8">
        <w:t>% (n=</w:t>
      </w:r>
      <w:r w:rsidR="00B232E8" w:rsidRPr="00B232E8">
        <w:t>1</w:t>
      </w:r>
      <w:r w:rsidRPr="00B232E8">
        <w:t>)) in the number of people that said they had some social contact with people, but not enough</w:t>
      </w:r>
      <w:r w:rsidR="00E80423">
        <w:t>; and</w:t>
      </w:r>
    </w:p>
    <w:p w14:paraId="49A98569" w14:textId="77777777" w:rsidR="00AD0525" w:rsidRPr="00B232E8" w:rsidRDefault="00AD0525" w:rsidP="00D53262">
      <w:pPr>
        <w:pStyle w:val="ListParagraph"/>
      </w:pPr>
      <w:r w:rsidRPr="00B232E8">
        <w:t xml:space="preserve">There was a </w:t>
      </w:r>
      <w:r w:rsidR="00B232E8" w:rsidRPr="00B232E8">
        <w:t xml:space="preserve">decrease </w:t>
      </w:r>
      <w:r w:rsidRPr="00B232E8">
        <w:t>(</w:t>
      </w:r>
      <w:r w:rsidR="00B232E8" w:rsidRPr="00B232E8">
        <w:t>-</w:t>
      </w:r>
      <w:r w:rsidRPr="00B232E8">
        <w:t>11% (n=</w:t>
      </w:r>
      <w:r w:rsidR="00B232E8" w:rsidRPr="00B232E8">
        <w:t>14</w:t>
      </w:r>
      <w:r w:rsidRPr="00B232E8">
        <w:t xml:space="preserve">)) in the number of </w:t>
      </w:r>
      <w:r w:rsidR="00B232E8" w:rsidRPr="00B232E8">
        <w:t>people who felt they had little social contact with people and felt socially isolated</w:t>
      </w:r>
      <w:r w:rsidRPr="00B232E8">
        <w:t xml:space="preserve"> </w:t>
      </w:r>
    </w:p>
    <w:p w14:paraId="076FDE72" w14:textId="77777777" w:rsidR="00AD0525" w:rsidRPr="00E57CA4" w:rsidRDefault="00AD0525" w:rsidP="00AE785D">
      <w:pPr>
        <w:pStyle w:val="BodyText-parastyle"/>
      </w:pPr>
      <w:r w:rsidRPr="00B232E8">
        <w:t>Due to the small number of respondents the findings above are not representative or statistically significant.</w:t>
      </w:r>
    </w:p>
    <w:p w14:paraId="69B571F6" w14:textId="77777777" w:rsidR="00AD0525" w:rsidRDefault="00AD0525" w:rsidP="00D465F1">
      <w:pPr>
        <w:pStyle w:val="Heading3"/>
      </w:pPr>
      <w:r>
        <w:t xml:space="preserve">Service User Satisfaction </w:t>
      </w:r>
    </w:p>
    <w:p w14:paraId="70E1CD32" w14:textId="77777777" w:rsidR="00A620B0" w:rsidRDefault="00AD0525" w:rsidP="00AD0525">
      <w:pPr>
        <w:pStyle w:val="BodyText-italics"/>
      </w:pPr>
      <w:r w:rsidRPr="00160923">
        <w:t xml:space="preserve">Respondents provided positive feedback on the support provided with </w:t>
      </w:r>
      <w:r w:rsidR="00B232E8" w:rsidRPr="00160923">
        <w:t>80% (n=106</w:t>
      </w:r>
      <w:r w:rsidRPr="00160923">
        <w:t xml:space="preserve">) of </w:t>
      </w:r>
      <w:r w:rsidR="00160923" w:rsidRPr="00160923">
        <w:t xml:space="preserve">132 respondents stating they </w:t>
      </w:r>
      <w:r w:rsidRPr="00160923">
        <w:t xml:space="preserve">were quite or very satisfied with the service, </w:t>
      </w:r>
      <w:r w:rsidR="00A620B0">
        <w:t>examples of qualitative feedback from respondents includes:</w:t>
      </w:r>
    </w:p>
    <w:p w14:paraId="2189E769" w14:textId="77777777" w:rsidR="00A620B0" w:rsidRDefault="00AD0525" w:rsidP="00AD0525">
      <w:pPr>
        <w:pStyle w:val="BodyText-italics"/>
      </w:pPr>
      <w:r w:rsidRPr="007B29E2">
        <w:rPr>
          <w:color w:val="00B0F0"/>
        </w:rPr>
        <w:t>“</w:t>
      </w:r>
      <w:r w:rsidRPr="007B29E2">
        <w:rPr>
          <w:i/>
          <w:color w:val="00B0F0"/>
        </w:rPr>
        <w:t>It is a brilliant support which works well as part of an integrated health service. Really grateful, wouldn't be able to do anything without it</w:t>
      </w:r>
      <w:r w:rsidRPr="007B29E2">
        <w:rPr>
          <w:color w:val="00B0F0"/>
        </w:rPr>
        <w:t>”</w:t>
      </w:r>
      <w:r w:rsidR="007B29E2" w:rsidRPr="007B29E2">
        <w:rPr>
          <w:color w:val="00B0F0"/>
        </w:rPr>
        <w:t xml:space="preserve"> [respondent from My Social Prescription]</w:t>
      </w:r>
    </w:p>
    <w:p w14:paraId="427F5E84" w14:textId="77777777" w:rsidR="00A620B0" w:rsidRDefault="00A620B0" w:rsidP="00AD0525">
      <w:pPr>
        <w:pStyle w:val="BodyText-italics"/>
        <w:rPr>
          <w:color w:val="00B0F0"/>
        </w:rPr>
      </w:pPr>
      <w:r>
        <w:rPr>
          <w:color w:val="00B0F0"/>
        </w:rPr>
        <w:t>“</w:t>
      </w:r>
      <w:r w:rsidRPr="00A620B0">
        <w:rPr>
          <w:i/>
          <w:color w:val="00B0F0"/>
        </w:rPr>
        <w:t>The service was second to none and everything worked well and was worthwhile. In my opinion the best service I've ever had</w:t>
      </w:r>
      <w:r>
        <w:rPr>
          <w:color w:val="00B0F0"/>
        </w:rPr>
        <w:t xml:space="preserve">” </w:t>
      </w:r>
      <w:r w:rsidRPr="00A620B0">
        <w:rPr>
          <w:color w:val="00B0F0"/>
        </w:rPr>
        <w:t xml:space="preserve">[respondent </w:t>
      </w:r>
      <w:r w:rsidRPr="007B29E2">
        <w:rPr>
          <w:color w:val="00B0F0"/>
        </w:rPr>
        <w:t xml:space="preserve">from </w:t>
      </w:r>
      <w:r>
        <w:rPr>
          <w:color w:val="00B0F0"/>
        </w:rPr>
        <w:t>Ways to Wellness</w:t>
      </w:r>
      <w:r w:rsidRPr="007B29E2">
        <w:rPr>
          <w:color w:val="00B0F0"/>
        </w:rPr>
        <w:t>]</w:t>
      </w:r>
    </w:p>
    <w:p w14:paraId="2B59D0B6" w14:textId="77777777" w:rsidR="00A620B0" w:rsidRPr="00A620B0" w:rsidRDefault="00A620B0" w:rsidP="00AD0525">
      <w:pPr>
        <w:pStyle w:val="BodyText-italics"/>
        <w:rPr>
          <w:b/>
        </w:rPr>
      </w:pPr>
      <w:r w:rsidRPr="00A620B0">
        <w:rPr>
          <w:color w:val="00B0F0"/>
        </w:rPr>
        <w:t>“</w:t>
      </w:r>
      <w:r w:rsidRPr="00A620B0">
        <w:rPr>
          <w:i/>
          <w:color w:val="00B0F0"/>
        </w:rPr>
        <w:t>I like the fact that I am listened to and not just put to bed</w:t>
      </w:r>
      <w:r w:rsidRPr="00A620B0">
        <w:rPr>
          <w:color w:val="00B0F0"/>
        </w:rPr>
        <w:t xml:space="preserve">” [respondent </w:t>
      </w:r>
      <w:r w:rsidRPr="007B29E2">
        <w:rPr>
          <w:color w:val="00B0F0"/>
        </w:rPr>
        <w:t xml:space="preserve">from </w:t>
      </w:r>
      <w:r>
        <w:rPr>
          <w:color w:val="00B0F0"/>
        </w:rPr>
        <w:t>Smart Life</w:t>
      </w:r>
      <w:r w:rsidRPr="007B29E2">
        <w:rPr>
          <w:color w:val="00B0F0"/>
        </w:rPr>
        <w:t>]</w:t>
      </w:r>
    </w:p>
    <w:p w14:paraId="2FA89908" w14:textId="77777777" w:rsidR="00AD0525" w:rsidRPr="00160923" w:rsidRDefault="00AD0525" w:rsidP="00AD0525">
      <w:pPr>
        <w:pStyle w:val="BodyText-italics"/>
      </w:pPr>
      <w:r w:rsidRPr="00160923">
        <w:t xml:space="preserve">In addition, </w:t>
      </w:r>
      <w:r w:rsidR="00160923" w:rsidRPr="00160923">
        <w:t>93</w:t>
      </w:r>
      <w:r w:rsidRPr="00160923">
        <w:t xml:space="preserve">% of </w:t>
      </w:r>
      <w:r w:rsidR="00160923" w:rsidRPr="00160923">
        <w:t xml:space="preserve">123 </w:t>
      </w:r>
      <w:r w:rsidRPr="00160923">
        <w:t xml:space="preserve">respondents stated they would recommend the project to others. </w:t>
      </w:r>
    </w:p>
    <w:p w14:paraId="7203833F" w14:textId="77777777" w:rsidR="00AD0525" w:rsidRDefault="00AD0525" w:rsidP="00D465F1">
      <w:pPr>
        <w:pStyle w:val="Heading3"/>
      </w:pPr>
      <w:r>
        <w:t xml:space="preserve">Additionality </w:t>
      </w:r>
    </w:p>
    <w:p w14:paraId="0BCF02B3" w14:textId="77777777" w:rsidR="007B29E2" w:rsidRDefault="00AD0525" w:rsidP="00AE785D">
      <w:pPr>
        <w:pStyle w:val="BodyText-parastyle"/>
      </w:pPr>
      <w:r w:rsidRPr="001371E8">
        <w:t xml:space="preserve">Overall </w:t>
      </w:r>
      <w:r w:rsidR="001371E8" w:rsidRPr="001371E8">
        <w:t>55</w:t>
      </w:r>
      <w:r w:rsidRPr="001371E8">
        <w:t>% (n=</w:t>
      </w:r>
      <w:r w:rsidR="00FC647D">
        <w:t>59</w:t>
      </w:r>
      <w:r w:rsidRPr="001371E8">
        <w:t xml:space="preserve">) of </w:t>
      </w:r>
      <w:r w:rsidR="00FC647D">
        <w:t>107</w:t>
      </w:r>
      <w:r w:rsidR="001371E8" w:rsidRPr="001371E8">
        <w:t xml:space="preserve"> </w:t>
      </w:r>
      <w:r w:rsidRPr="001371E8">
        <w:t>respondents</w:t>
      </w:r>
      <w:r w:rsidRPr="001371E8">
        <w:rPr>
          <w:rStyle w:val="FootnoteReference"/>
        </w:rPr>
        <w:footnoteReference w:id="87"/>
      </w:r>
      <w:r w:rsidRPr="001371E8">
        <w:t xml:space="preserve"> indicated that they probably or definitely would not have received the same support in the absence of the project, indicating that any benefits reported, or lack of deterioration in health and wellbeing can at least in part be attr</w:t>
      </w:r>
      <w:r w:rsidR="007B29E2">
        <w:t xml:space="preserve">ibuted to the support provided. This is supported by additional qualitative feedback provided by respondents which highlighted that in many situations they would not have sourced any other support with one respondent noting that </w:t>
      </w:r>
      <w:r w:rsidR="007B29E2" w:rsidRPr="007B29E2">
        <w:rPr>
          <w:color w:val="00B0F0"/>
        </w:rPr>
        <w:t>“</w:t>
      </w:r>
      <w:r w:rsidR="007B29E2" w:rsidRPr="007B29E2">
        <w:rPr>
          <w:i/>
          <w:color w:val="00B0F0"/>
        </w:rPr>
        <w:t>[in the absence of the project] I would have done myself in. Suicide! I think the service is second to none, it is fantastic and brilliant</w:t>
      </w:r>
      <w:r w:rsidR="007B29E2" w:rsidRPr="007B29E2">
        <w:rPr>
          <w:color w:val="00B0F0"/>
        </w:rPr>
        <w:t>” [respondent from Ways to Wellness]</w:t>
      </w:r>
      <w:r w:rsidR="007B29E2">
        <w:t>.</w:t>
      </w:r>
    </w:p>
    <w:p w14:paraId="1FA7356A" w14:textId="77777777" w:rsidR="00AD0525" w:rsidRDefault="007B29E2" w:rsidP="00AE785D">
      <w:pPr>
        <w:pStyle w:val="BodyText-parastyle"/>
      </w:pPr>
      <w:r>
        <w:t xml:space="preserve">The remaining respondents stated: </w:t>
      </w:r>
    </w:p>
    <w:p w14:paraId="6CB8F9AC" w14:textId="77777777" w:rsidR="007B29E2" w:rsidRDefault="007B29E2" w:rsidP="00D53262">
      <w:pPr>
        <w:pStyle w:val="ListParagraph"/>
      </w:pPr>
      <w:r>
        <w:t>Would have received support, with same result (12%; n=13)</w:t>
      </w:r>
    </w:p>
    <w:p w14:paraId="0F4F3758" w14:textId="77777777" w:rsidR="007B29E2" w:rsidRDefault="007B29E2" w:rsidP="00D53262">
      <w:pPr>
        <w:pStyle w:val="ListParagraph"/>
      </w:pPr>
      <w:r>
        <w:t>Would have received support, but would have taken longer to receive (3%; n=3)</w:t>
      </w:r>
    </w:p>
    <w:p w14:paraId="6D0AE82F" w14:textId="77777777" w:rsidR="007B29E2" w:rsidRDefault="007B29E2" w:rsidP="00D53262">
      <w:pPr>
        <w:pStyle w:val="ListParagraph"/>
      </w:pPr>
      <w:r>
        <w:t>Would have received support, but not as much (6%; n=6)</w:t>
      </w:r>
    </w:p>
    <w:p w14:paraId="567A3C46" w14:textId="77777777" w:rsidR="007B29E2" w:rsidRPr="00942CCD" w:rsidRDefault="007B29E2" w:rsidP="00D53262">
      <w:pPr>
        <w:pStyle w:val="ListParagraph"/>
      </w:pPr>
      <w:r>
        <w:t>Would have received support, but would have taken longer and would not have received as much support (2%, n=2)</w:t>
      </w:r>
    </w:p>
    <w:p w14:paraId="2A67242B" w14:textId="77777777" w:rsidR="00942CCD" w:rsidRPr="00942CCD" w:rsidRDefault="00AD0525" w:rsidP="00AE785D">
      <w:pPr>
        <w:pStyle w:val="BodyText-parastyle"/>
      </w:pPr>
      <w:r w:rsidRPr="00942CCD">
        <w:t>However while</w:t>
      </w:r>
      <w:r w:rsidR="008640F4">
        <w:t xml:space="preserve"> 22%</w:t>
      </w:r>
      <w:r w:rsidRPr="00942CCD">
        <w:t xml:space="preserve"> </w:t>
      </w:r>
      <w:r w:rsidR="008640F4" w:rsidRPr="00942CCD">
        <w:t xml:space="preserve">(n=24) stated </w:t>
      </w:r>
      <w:r w:rsidR="008640F4">
        <w:t xml:space="preserve">‘other’ and </w:t>
      </w:r>
      <w:r w:rsidR="00942CCD" w:rsidRPr="00942CCD">
        <w:t>22</w:t>
      </w:r>
      <w:r w:rsidRPr="00942CCD">
        <w:t>% (n=2</w:t>
      </w:r>
      <w:r w:rsidR="00942CCD" w:rsidRPr="00942CCD">
        <w:t>4</w:t>
      </w:r>
      <w:r w:rsidRPr="00942CCD">
        <w:t>) stated that they would still have received support</w:t>
      </w:r>
      <w:r w:rsidR="008640F4">
        <w:t>, w</w:t>
      </w:r>
      <w:r w:rsidR="00942CCD" w:rsidRPr="00942CCD">
        <w:t xml:space="preserve">hen asked </w:t>
      </w:r>
      <w:r w:rsidR="008640F4">
        <w:t xml:space="preserve">to explain / indicate </w:t>
      </w:r>
      <w:r w:rsidR="00942CCD" w:rsidRPr="00942CCD">
        <w:t xml:space="preserve">where they could have received support in the absence of the project </w:t>
      </w:r>
      <w:r w:rsidR="008640F4">
        <w:t>4</w:t>
      </w:r>
      <w:r w:rsidR="00942CCD" w:rsidRPr="00942CCD">
        <w:t>2 respondents provided a response. These included they did not know where they would have received support (</w:t>
      </w:r>
      <w:r w:rsidR="008640F4">
        <w:t>40%, n=17</w:t>
      </w:r>
      <w:r w:rsidR="00942CCD" w:rsidRPr="00942CCD">
        <w:t>); would have paid for support privately (2</w:t>
      </w:r>
      <w:r w:rsidR="008640F4">
        <w:t>6</w:t>
      </w:r>
      <w:r w:rsidR="00942CCD" w:rsidRPr="00942CCD">
        <w:t>%, n=</w:t>
      </w:r>
      <w:r w:rsidR="008640F4">
        <w:t>11</w:t>
      </w:r>
      <w:r w:rsidR="00942CCD" w:rsidRPr="00942CCD">
        <w:t>); would have sought support from another organisation in the third sector (1</w:t>
      </w:r>
      <w:r w:rsidR="008640F4">
        <w:t>0</w:t>
      </w:r>
      <w:r w:rsidR="00942CCD" w:rsidRPr="00942CCD">
        <w:t>%, n=</w:t>
      </w:r>
      <w:r w:rsidR="008640F4">
        <w:t>4</w:t>
      </w:r>
      <w:r w:rsidR="00942CCD" w:rsidRPr="00942CCD">
        <w:t xml:space="preserve">) would have </w:t>
      </w:r>
      <w:r w:rsidR="00F53A5A">
        <w:t>gone</w:t>
      </w:r>
      <w:r w:rsidR="00F53A5A" w:rsidRPr="00942CCD">
        <w:t xml:space="preserve"> </w:t>
      </w:r>
      <w:r w:rsidR="00942CCD" w:rsidRPr="00942CCD">
        <w:t>to their GP (</w:t>
      </w:r>
      <w:r w:rsidR="008640F4">
        <w:t>10</w:t>
      </w:r>
      <w:r w:rsidR="00942CCD" w:rsidRPr="00942CCD">
        <w:t>%, n=</w:t>
      </w:r>
      <w:r w:rsidR="008640F4">
        <w:t>4</w:t>
      </w:r>
      <w:r w:rsidR="00942CCD" w:rsidRPr="00942CCD">
        <w:t>) or sought support from family / friends (</w:t>
      </w:r>
      <w:r w:rsidR="008640F4">
        <w:t>10</w:t>
      </w:r>
      <w:r w:rsidR="00942CCD" w:rsidRPr="00942CCD">
        <w:t>%, n=</w:t>
      </w:r>
      <w:r w:rsidR="008640F4">
        <w:t>4</w:t>
      </w:r>
      <w:r w:rsidR="00942CCD" w:rsidRPr="00942CCD">
        <w:t>) or social services (5%, n=</w:t>
      </w:r>
      <w:r w:rsidR="008640F4">
        <w:t>2</w:t>
      </w:r>
      <w:r w:rsidR="00942CCD" w:rsidRPr="00942CCD">
        <w:t xml:space="preserve">). </w:t>
      </w:r>
    </w:p>
    <w:p w14:paraId="51E35E30" w14:textId="77777777" w:rsidR="00AD0525" w:rsidRDefault="00AD0525" w:rsidP="00AE785D">
      <w:pPr>
        <w:pStyle w:val="BodyText-parastyle"/>
      </w:pPr>
      <w:r w:rsidRPr="00942CCD">
        <w:t xml:space="preserve">Therefore while the outcomes reported in this section assumes 100% additionality, these benefits may only be </w:t>
      </w:r>
      <w:r w:rsidR="00942CCD" w:rsidRPr="00942CCD">
        <w:t>55</w:t>
      </w:r>
      <w:r w:rsidRPr="00942CCD">
        <w:t xml:space="preserve">% additional as </w:t>
      </w:r>
      <w:r w:rsidR="00FC647D">
        <w:t>45</w:t>
      </w:r>
      <w:r w:rsidRPr="00942CCD">
        <w:t>% respondents believed they could have received similar support elsewhere</w:t>
      </w:r>
      <w:r w:rsidR="008640F4">
        <w:t xml:space="preserve"> / in another way</w:t>
      </w:r>
      <w:r w:rsidRPr="00942CCD">
        <w:t>.</w:t>
      </w:r>
    </w:p>
    <w:p w14:paraId="1AA125BD" w14:textId="77777777" w:rsidR="00AD0525" w:rsidRDefault="00AD0525" w:rsidP="00D465F1">
      <w:pPr>
        <w:pStyle w:val="Heading3"/>
      </w:pPr>
      <w:r>
        <w:t>I</w:t>
      </w:r>
      <w:r w:rsidRPr="006950E1">
        <w:t xml:space="preserve">mpact on community resilience and capacity </w:t>
      </w:r>
    </w:p>
    <w:p w14:paraId="33319662" w14:textId="77777777" w:rsidR="006D7DD7" w:rsidRDefault="006D7DD7" w:rsidP="006D7DD7">
      <w:pPr>
        <w:pStyle w:val="Heading4"/>
      </w:pPr>
      <w:r>
        <w:t>Volunteers</w:t>
      </w:r>
    </w:p>
    <w:p w14:paraId="1062F576" w14:textId="77777777" w:rsidR="00F07060" w:rsidRDefault="00B3303A" w:rsidP="00AE785D">
      <w:pPr>
        <w:pStyle w:val="BodyText-parastyle"/>
      </w:pPr>
      <w:r w:rsidRPr="00B3303A">
        <w:t>In total 19</w:t>
      </w:r>
      <w:r w:rsidR="00090833">
        <w:t>5</w:t>
      </w:r>
      <w:r w:rsidRPr="00B3303A">
        <w:t xml:space="preserve"> (active) and 285 (inactive) volunteers and SPCs have been involved in the delivery of the Social Prescribing projects</w:t>
      </w:r>
      <w:r w:rsidR="009F3F52">
        <w:t xml:space="preserve"> during</w:t>
      </w:r>
      <w:r w:rsidR="003702C8">
        <w:t xml:space="preserve"> 2015/16 – 2016/17</w:t>
      </w:r>
      <w:r w:rsidR="00265079">
        <w:t xml:space="preserve">. </w:t>
      </w:r>
      <w:r w:rsidR="00DC48F3">
        <w:t xml:space="preserve">The purpose of volunteers varied between the models, </w:t>
      </w:r>
      <w:r w:rsidR="00F07060">
        <w:t>for example:</w:t>
      </w:r>
    </w:p>
    <w:p w14:paraId="3F6F6AC3" w14:textId="77777777" w:rsidR="00F07060" w:rsidRDefault="00F07060" w:rsidP="00D53262">
      <w:pPr>
        <w:pStyle w:val="ListParagraph"/>
      </w:pPr>
      <w:r w:rsidRPr="006D7DD7">
        <w:rPr>
          <w:color w:val="00B0F0"/>
        </w:rPr>
        <w:t xml:space="preserve">Basildon and Brentwood </w:t>
      </w:r>
      <w:r>
        <w:t xml:space="preserve">– supported project delivery by </w:t>
      </w:r>
      <w:r w:rsidRPr="00F07060">
        <w:t>making client appointments, preparing confi</w:t>
      </w:r>
      <w:r>
        <w:t xml:space="preserve">rmation of appointment letters </w:t>
      </w:r>
      <w:r w:rsidRPr="00F07060">
        <w:t>assist</w:t>
      </w:r>
      <w:r>
        <w:t>ing</w:t>
      </w:r>
      <w:r w:rsidRPr="00F07060">
        <w:t xml:space="preserve"> with client telephone evaluations, </w:t>
      </w:r>
      <w:r>
        <w:t xml:space="preserve">and </w:t>
      </w:r>
      <w:r w:rsidRPr="00F07060">
        <w:t xml:space="preserve">accompanied Navigators on home visits </w:t>
      </w:r>
      <w:r>
        <w:t>/</w:t>
      </w:r>
      <w:r w:rsidRPr="00F07060">
        <w:t xml:space="preserve"> provid</w:t>
      </w:r>
      <w:r>
        <w:t>ing</w:t>
      </w:r>
      <w:r w:rsidRPr="00F07060">
        <w:t xml:space="preserve"> support to clients including weekly telephone calls and accompanying them to local walking groups etc.</w:t>
      </w:r>
    </w:p>
    <w:p w14:paraId="305F8BD7" w14:textId="77777777" w:rsidR="00F07060" w:rsidRDefault="00F07060" w:rsidP="00D53262">
      <w:pPr>
        <w:pStyle w:val="ListParagraph"/>
      </w:pPr>
      <w:r w:rsidRPr="006D7DD7">
        <w:rPr>
          <w:color w:val="00B0F0"/>
        </w:rPr>
        <w:t xml:space="preserve">Castle Point and Rochford </w:t>
      </w:r>
      <w:r>
        <w:t xml:space="preserve">- dealt with telephone enquiries / dealt with enquiries </w:t>
      </w:r>
      <w:r w:rsidR="004D2E4C">
        <w:t>from</w:t>
      </w:r>
      <w:r>
        <w:t xml:space="preserve"> the public at outreach sites</w:t>
      </w:r>
    </w:p>
    <w:p w14:paraId="5C847824" w14:textId="77777777" w:rsidR="006D7DD7" w:rsidRDefault="006D7DD7" w:rsidP="00D53262">
      <w:pPr>
        <w:pStyle w:val="ListParagraph"/>
      </w:pPr>
      <w:r w:rsidRPr="006D7DD7">
        <w:rPr>
          <w:color w:val="00B0F0"/>
        </w:rPr>
        <w:t>North East Essex (My Social Prescription)</w:t>
      </w:r>
      <w:r>
        <w:t xml:space="preserve"> – trained Social Prescribers / Champions </w:t>
      </w:r>
      <w:r w:rsidR="008B7404">
        <w:t xml:space="preserve">to support delivery of the My Social Prescription project as well as </w:t>
      </w:r>
      <w:r w:rsidR="009B1529">
        <w:t xml:space="preserve">in </w:t>
      </w:r>
      <w:r w:rsidR="008B7404">
        <w:t xml:space="preserve">Mid Essex </w:t>
      </w:r>
      <w:r w:rsidR="009B1529">
        <w:t xml:space="preserve">/ for other </w:t>
      </w:r>
      <w:r w:rsidR="009B1529" w:rsidRPr="009B1529">
        <w:t xml:space="preserve">public sector partners </w:t>
      </w:r>
      <w:r>
        <w:t xml:space="preserve">to meet with clients and </w:t>
      </w:r>
      <w:r w:rsidRPr="006D7DD7">
        <w:t>ma</w:t>
      </w:r>
      <w:r>
        <w:t>k</w:t>
      </w:r>
      <w:r w:rsidRPr="006D7DD7">
        <w:t>e referrals to other organisations via Connect Well</w:t>
      </w:r>
      <w:r w:rsidR="0091561A">
        <w:t xml:space="preserve"> </w:t>
      </w:r>
    </w:p>
    <w:p w14:paraId="6101F064" w14:textId="77777777" w:rsidR="008B7404" w:rsidRDefault="006D7DD7" w:rsidP="00D53262">
      <w:pPr>
        <w:pStyle w:val="ListParagraph"/>
      </w:pPr>
      <w:r w:rsidRPr="006D7DD7">
        <w:rPr>
          <w:color w:val="00B0F0"/>
        </w:rPr>
        <w:t xml:space="preserve">West Essex </w:t>
      </w:r>
      <w:r>
        <w:t>– it was intended that volunteer PIPs would support those referred to the project and identified as requiring more intensive support to identify and help them to achieve personal goals. However the project found it difficult to rec</w:t>
      </w:r>
      <w:r w:rsidR="000F08B3">
        <w:t>ruit and retain volunteers.</w:t>
      </w:r>
    </w:p>
    <w:p w14:paraId="22701B13" w14:textId="77777777" w:rsidR="008B7404" w:rsidRDefault="008B7404" w:rsidP="00AE785D">
      <w:pPr>
        <w:pStyle w:val="BodyText-parastyle"/>
      </w:pPr>
      <w:r>
        <w:t xml:space="preserve">Each of the projects provided bespoke training for volunteers specific to the individual project. This included training in areas such as: </w:t>
      </w:r>
    </w:p>
    <w:p w14:paraId="41CB6D36" w14:textId="77777777" w:rsidR="008B7404" w:rsidRDefault="008B7404" w:rsidP="00D53262">
      <w:pPr>
        <w:pStyle w:val="ListParagraph"/>
      </w:pPr>
      <w:r w:rsidRPr="00CA5317">
        <w:t>customer care</w:t>
      </w:r>
      <w:r w:rsidR="009B0F3B">
        <w:t>;</w:t>
      </w:r>
    </w:p>
    <w:p w14:paraId="34298B22" w14:textId="77777777" w:rsidR="008B7404" w:rsidRDefault="008B7404" w:rsidP="00D53262">
      <w:pPr>
        <w:pStyle w:val="ListParagraph"/>
      </w:pPr>
      <w:r>
        <w:t>communication skills</w:t>
      </w:r>
      <w:r w:rsidR="009B0F3B">
        <w:t>;</w:t>
      </w:r>
      <w:r>
        <w:t xml:space="preserve"> </w:t>
      </w:r>
    </w:p>
    <w:p w14:paraId="38CB5B03" w14:textId="77777777" w:rsidR="008B7404" w:rsidRDefault="008B7404" w:rsidP="00D53262">
      <w:pPr>
        <w:pStyle w:val="ListParagraph"/>
      </w:pPr>
      <w:r w:rsidRPr="00CA5317">
        <w:t>supporting patients with mental health needs</w:t>
      </w:r>
      <w:r w:rsidR="009B0F3B">
        <w:t>;</w:t>
      </w:r>
    </w:p>
    <w:p w14:paraId="6C6F5CC0" w14:textId="77777777" w:rsidR="008B7404" w:rsidRDefault="008B7404" w:rsidP="00D53262">
      <w:pPr>
        <w:pStyle w:val="ListParagraph"/>
      </w:pPr>
      <w:r>
        <w:t>safeguarding / mental health awareness</w:t>
      </w:r>
      <w:r w:rsidR="009B0F3B">
        <w:t>; and</w:t>
      </w:r>
      <w:r>
        <w:t xml:space="preserve"> </w:t>
      </w:r>
    </w:p>
    <w:p w14:paraId="074629B7" w14:textId="77777777" w:rsidR="008B7404" w:rsidRDefault="008B7404" w:rsidP="00D53262">
      <w:pPr>
        <w:pStyle w:val="ListParagraph"/>
      </w:pPr>
      <w:r>
        <w:t>social prescribing as a methodology and specific information and guidance relating to the individual project</w:t>
      </w:r>
      <w:r w:rsidR="009B0F3B">
        <w:t>.</w:t>
      </w:r>
      <w:r>
        <w:t xml:space="preserve"> </w:t>
      </w:r>
    </w:p>
    <w:p w14:paraId="29BAFD9D" w14:textId="77777777" w:rsidR="008B7404" w:rsidRDefault="008B7404" w:rsidP="00AE785D">
      <w:pPr>
        <w:pStyle w:val="BodyText-parastyle"/>
      </w:pPr>
      <w:r>
        <w:t xml:space="preserve">In some cases </w:t>
      </w:r>
      <w:r w:rsidRPr="00265079">
        <w:t xml:space="preserve">volunteers have subsequently progressed to employment and have reported improvements in confidence and health and well-being. </w:t>
      </w:r>
    </w:p>
    <w:p w14:paraId="05A0495B" w14:textId="77777777" w:rsidR="006A76DB" w:rsidRDefault="0091561A" w:rsidP="00AE785D">
      <w:pPr>
        <w:pStyle w:val="BodyText-parastyle"/>
      </w:pPr>
      <w:r>
        <w:t xml:space="preserve">The Mid Essex model, by adapting a whole population approach utilised </w:t>
      </w:r>
      <w:r w:rsidR="0094396C">
        <w:t xml:space="preserve">resources </w:t>
      </w:r>
      <w:r>
        <w:t xml:space="preserve">differently to the other models, with a focus on training those </w:t>
      </w:r>
      <w:r w:rsidRPr="0091561A">
        <w:t xml:space="preserve">who connect with people during their day job in public facing roles </w:t>
      </w:r>
      <w:r>
        <w:t xml:space="preserve">to implement </w:t>
      </w:r>
      <w:r w:rsidRPr="0091561A">
        <w:t xml:space="preserve">empowered signposting across </w:t>
      </w:r>
      <w:r>
        <w:t>a number of local organisations.</w:t>
      </w:r>
      <w:r w:rsidR="00F666B2">
        <w:t xml:space="preserve"> In total </w:t>
      </w:r>
      <w:r w:rsidR="00F666B2" w:rsidRPr="00F666B2">
        <w:t xml:space="preserve">424 Connect Well Champions </w:t>
      </w:r>
      <w:r w:rsidR="00F666B2">
        <w:t xml:space="preserve">were trained </w:t>
      </w:r>
      <w:r w:rsidR="00F666B2" w:rsidRPr="00F666B2">
        <w:t>in social prescribing, ABCD, Connect Well and Making Every Contact Count during February 2016 – 31 March 2017 and of these 153 are active</w:t>
      </w:r>
      <w:r w:rsidR="00F666B2">
        <w:t xml:space="preserve">. Feedback from stakeholders (section </w:t>
      </w:r>
      <w:r w:rsidR="003702C8">
        <w:t>7</w:t>
      </w:r>
      <w:r w:rsidR="00F666B2">
        <w:t xml:space="preserve">) indicates that the training of </w:t>
      </w:r>
      <w:r w:rsidR="00426E1D">
        <w:t>SPCs</w:t>
      </w:r>
      <w:r w:rsidR="00F666B2">
        <w:t xml:space="preserve"> has been beneficial</w:t>
      </w:r>
      <w:r w:rsidR="008B7404">
        <w:t xml:space="preserve">, further research is required to assess the impact of the training provided on the knowledge </w:t>
      </w:r>
      <w:r w:rsidR="009B1529">
        <w:t>/ understanding of</w:t>
      </w:r>
      <w:r w:rsidR="008B7404">
        <w:t xml:space="preserve"> staff</w:t>
      </w:r>
      <w:r w:rsidR="009B1529">
        <w:t>, how they have used this and the impact it has had</w:t>
      </w:r>
      <w:r w:rsidR="00AE2879">
        <w:t xml:space="preserve"> on their day to day interactions with potential Social Prescribing users. </w:t>
      </w:r>
      <w:r w:rsidR="006A76DB">
        <w:t xml:space="preserve"> </w:t>
      </w:r>
    </w:p>
    <w:p w14:paraId="712AC8F3" w14:textId="77777777" w:rsidR="00D12D6E" w:rsidRDefault="00265079" w:rsidP="00AE785D">
      <w:pPr>
        <w:pStyle w:val="BodyText-parastyle"/>
      </w:pPr>
      <w:r w:rsidRPr="00265079">
        <w:t xml:space="preserve">Examples of volunteer feedback / case studies </w:t>
      </w:r>
      <w:r w:rsidR="00C25F90">
        <w:t>are</w:t>
      </w:r>
      <w:r w:rsidRPr="00265079">
        <w:t xml:space="preserve"> outlined below:</w:t>
      </w:r>
    </w:p>
    <w:p w14:paraId="116C0884" w14:textId="77777777" w:rsidR="00CA5317" w:rsidRPr="00720CC0" w:rsidRDefault="00CA5317" w:rsidP="00AE785D">
      <w:pPr>
        <w:pStyle w:val="BodyText-parastyle"/>
      </w:pPr>
      <w:r w:rsidRPr="00771CC1">
        <w:rPr>
          <w:color w:val="00B0F0"/>
        </w:rPr>
        <w:t>Case Study One</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CA5317" w14:paraId="7EED5E2F" w14:textId="77777777" w:rsidTr="00761A89">
        <w:tc>
          <w:tcPr>
            <w:tcW w:w="9759" w:type="dxa"/>
          </w:tcPr>
          <w:p w14:paraId="788F7BB4" w14:textId="77777777" w:rsidR="006A76DB" w:rsidRDefault="00CA5317" w:rsidP="00AE785D">
            <w:pPr>
              <w:pStyle w:val="BodyText-parastyle"/>
            </w:pPr>
            <w:r>
              <w:t>“</w:t>
            </w:r>
            <w:r w:rsidRPr="00FF6070">
              <w:t>I was involved with Basildon CVS both as a client and volunteer for about 6 months last year (2016). My experience in both categories was excellent. As a client I was treated with respect, friendliness and encouragement. My mentor was supportive, enabling me to identify key target</w:t>
            </w:r>
            <w:r w:rsidR="000E01C0">
              <w:t xml:space="preserve">s and identify a forward path. </w:t>
            </w:r>
          </w:p>
          <w:p w14:paraId="4101D8F7" w14:textId="6CCB9D79" w:rsidR="00CA5317" w:rsidRDefault="00CA5317" w:rsidP="00AE785D">
            <w:pPr>
              <w:pStyle w:val="BodyText-parastyle"/>
            </w:pPr>
            <w:r w:rsidRPr="00FF6070">
              <w:t>As a volunteer I was give</w:t>
            </w:r>
            <w:r>
              <w:t xml:space="preserve">n training and agreed targets. </w:t>
            </w:r>
            <w:r w:rsidRPr="00FF6070">
              <w:t>The management staff and colleagues were profes</w:t>
            </w:r>
            <w:r>
              <w:t>sional</w:t>
            </w:r>
            <w:r w:rsidR="006A76DB">
              <w:t>,</w:t>
            </w:r>
            <w:r>
              <w:t xml:space="preserve"> supportive and friendly. </w:t>
            </w:r>
            <w:r w:rsidRPr="00FF6070">
              <w:t>They enabled me both to support other people and to identify short term ta</w:t>
            </w:r>
            <w:r>
              <w:t xml:space="preserve">rgets within a long term plan. </w:t>
            </w:r>
            <w:r w:rsidRPr="00FF6070">
              <w:t>In short my time with CVS was both happy and helpful.  I would not hesitate to recommend the service</w:t>
            </w:r>
            <w:r>
              <w:t>”</w:t>
            </w:r>
          </w:p>
        </w:tc>
      </w:tr>
    </w:tbl>
    <w:p w14:paraId="5A652816" w14:textId="2DEB4330" w:rsidR="00B56D0C" w:rsidRDefault="00B56D0C" w:rsidP="00B56D0C">
      <w:pPr>
        <w:pStyle w:val="Quote"/>
      </w:pPr>
      <w:r>
        <w:t>Source:</w:t>
      </w:r>
      <w:r w:rsidRPr="00B56D0C">
        <w:t xml:space="preserve"> BBWCVS (May 2017)</w:t>
      </w:r>
    </w:p>
    <w:p w14:paraId="3D6C3942" w14:textId="77777777" w:rsidR="00B56D0C" w:rsidRPr="00B56D0C" w:rsidRDefault="00B56D0C" w:rsidP="00B56D0C"/>
    <w:p w14:paraId="71E91801" w14:textId="77777777" w:rsidR="00CA5317" w:rsidRPr="00720CC0" w:rsidRDefault="00CA5317" w:rsidP="00AE785D">
      <w:pPr>
        <w:pStyle w:val="BodyText-parastyle"/>
      </w:pPr>
      <w:r w:rsidRPr="00771CC1">
        <w:rPr>
          <w:color w:val="00B0F0"/>
        </w:rPr>
        <w:t>Case Study Two</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CA5317" w14:paraId="75E6E6BA" w14:textId="77777777" w:rsidTr="00B56D0C">
        <w:tc>
          <w:tcPr>
            <w:tcW w:w="9759" w:type="dxa"/>
          </w:tcPr>
          <w:p w14:paraId="164ADEB8" w14:textId="77777777" w:rsidR="006A76DB" w:rsidRDefault="00CA5317" w:rsidP="00AE785D">
            <w:pPr>
              <w:pStyle w:val="BodyText-parastyle"/>
            </w:pPr>
            <w:r>
              <w:t>“</w:t>
            </w:r>
            <w:r w:rsidRPr="00FF6070">
              <w:t>Because of illness I had been unable to work for a number of years and I conside</w:t>
            </w:r>
            <w:r w:rsidR="006A76DB">
              <w:t xml:space="preserve">red volunteering. </w:t>
            </w:r>
            <w:r w:rsidRPr="00FF6070">
              <w:t xml:space="preserve">I started volunteering with the Social Prescription team in August 2016.  I really enjoy the work and the people I work with.  After being a volunteer for a while I saw a job vacancy which I thought looked interesting and I applied.   </w:t>
            </w:r>
          </w:p>
          <w:p w14:paraId="5CAD0D5F" w14:textId="0CFD1C1D" w:rsidR="00CA5317" w:rsidRDefault="00CA5317" w:rsidP="00AE785D">
            <w:pPr>
              <w:pStyle w:val="BodyText-parastyle"/>
            </w:pPr>
            <w:r w:rsidRPr="00FF6070">
              <w:t xml:space="preserve">In the past I would not have had the confidence to even consider applying and it is only as a result of the confidence I have gained during my time with the CVS that I applied for the job.  I was successful and now work part time but I still volunteer at the CVS because I enjoy it so much and feel </w:t>
            </w:r>
            <w:r>
              <w:t>like I am making a difference.”</w:t>
            </w:r>
          </w:p>
        </w:tc>
      </w:tr>
    </w:tbl>
    <w:p w14:paraId="7BDD5FA1" w14:textId="77777777" w:rsidR="00B56D0C" w:rsidRDefault="00B56D0C" w:rsidP="00B56D0C">
      <w:pPr>
        <w:pStyle w:val="Quote"/>
      </w:pPr>
      <w:r>
        <w:t>Source:</w:t>
      </w:r>
      <w:r w:rsidRPr="00B56D0C">
        <w:t xml:space="preserve"> BBWCVS (May 2017)</w:t>
      </w:r>
    </w:p>
    <w:p w14:paraId="382446F7" w14:textId="77777777" w:rsidR="009F3F52" w:rsidRDefault="009F3F52" w:rsidP="00AE785D">
      <w:pPr>
        <w:pStyle w:val="BodyText-parastyle"/>
      </w:pPr>
    </w:p>
    <w:p w14:paraId="62C33B9C" w14:textId="77777777" w:rsidR="00CA5317" w:rsidRPr="00720CC0" w:rsidRDefault="00CA5317" w:rsidP="00AE785D">
      <w:pPr>
        <w:pStyle w:val="BodyText-parastyle"/>
      </w:pPr>
      <w:r w:rsidRPr="00771CC1">
        <w:rPr>
          <w:color w:val="00B0F0"/>
        </w:rPr>
        <w:t>Case Study Three</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CA5317" w14:paraId="3C998D4C" w14:textId="77777777" w:rsidTr="00B56D0C">
        <w:tc>
          <w:tcPr>
            <w:tcW w:w="9759" w:type="dxa"/>
          </w:tcPr>
          <w:p w14:paraId="76D2AD41" w14:textId="77777777" w:rsidR="00CA5317" w:rsidRPr="00FF6070" w:rsidRDefault="00CA5317" w:rsidP="00AE785D">
            <w:pPr>
              <w:pStyle w:val="BodyText-parastyle"/>
            </w:pPr>
            <w:r>
              <w:t>“</w:t>
            </w:r>
            <w:r w:rsidRPr="00FF6070">
              <w:t>When I started volunteering in November 2016 I had been unemployed for around 5 years.  My self-confidence was very low, and I was beginning to give up hope of ever finding suitable employment.  However on the advice of my work coach at the job centre, I decided to try volunteer work.</w:t>
            </w:r>
          </w:p>
          <w:p w14:paraId="39DF0A43" w14:textId="6FA97783" w:rsidR="00CA5317" w:rsidRDefault="00CA5317" w:rsidP="00AE785D">
            <w:pPr>
              <w:pStyle w:val="BodyText-parastyle"/>
            </w:pPr>
            <w:r w:rsidRPr="00FF6070">
              <w:t>It changed my life!  I have really enjoyed my time as a recruitment/SP volunteer, and truly believe that working here has increased my self-confidence more than I could have imagined.  The people are all lovely, the work i</w:t>
            </w:r>
            <w:r w:rsidR="004B7A5F">
              <w:t xml:space="preserve">s </w:t>
            </w:r>
            <w:r w:rsidRPr="00FF6070">
              <w:t>interesting and varied, and having a routine has helped me to believe in myself again</w:t>
            </w:r>
            <w:r>
              <w:t xml:space="preserve">. </w:t>
            </w:r>
            <w:r w:rsidRPr="00FF6070">
              <w:t>It has made a big difference to my attitude.  Being able to tell prospective employers that I am currently doing voluntary work instead of using the word “unemployed” made me feel that I was doing something worthwhile.</w:t>
            </w:r>
            <w:r>
              <w:t xml:space="preserve"> </w:t>
            </w:r>
            <w:r w:rsidRPr="00FF6070">
              <w:rPr>
                <w:lang w:val="en-US"/>
              </w:rPr>
              <w:t>I will always remember my time here fondly and be grateful to BBWCVS for making me feel like a valued member of the team</w:t>
            </w:r>
            <w:r>
              <w:t>”</w:t>
            </w:r>
          </w:p>
        </w:tc>
      </w:tr>
    </w:tbl>
    <w:p w14:paraId="535ADEBD" w14:textId="77777777" w:rsidR="00B56D0C" w:rsidRDefault="00B56D0C" w:rsidP="00B56D0C">
      <w:pPr>
        <w:pStyle w:val="Quote"/>
      </w:pPr>
      <w:r>
        <w:t>Source:</w:t>
      </w:r>
      <w:r w:rsidRPr="00B56D0C">
        <w:t xml:space="preserve"> BBWCVS (May 2017)</w:t>
      </w:r>
    </w:p>
    <w:p w14:paraId="69CE7818" w14:textId="77777777" w:rsidR="00265079" w:rsidRDefault="00265079" w:rsidP="00AE785D">
      <w:pPr>
        <w:pStyle w:val="BodyText-parastyle"/>
      </w:pPr>
    </w:p>
    <w:p w14:paraId="6F7E99E6" w14:textId="77777777" w:rsidR="00720CC0" w:rsidRDefault="00720CC0" w:rsidP="00AE785D">
      <w:pPr>
        <w:pStyle w:val="BodyText-parastyle"/>
      </w:pPr>
    </w:p>
    <w:p w14:paraId="66E2EEB5" w14:textId="77777777" w:rsidR="00720CC0" w:rsidRDefault="00720CC0" w:rsidP="00AE785D">
      <w:pPr>
        <w:pStyle w:val="BodyText-parastyle"/>
      </w:pPr>
    </w:p>
    <w:p w14:paraId="2AEC9429" w14:textId="77777777" w:rsidR="00720CC0" w:rsidRDefault="00720CC0" w:rsidP="00AE785D">
      <w:pPr>
        <w:pStyle w:val="BodyText-parastyle"/>
      </w:pPr>
    </w:p>
    <w:p w14:paraId="50FCACC7" w14:textId="77777777" w:rsidR="00720CC0" w:rsidRDefault="00720CC0" w:rsidP="00AE785D">
      <w:pPr>
        <w:pStyle w:val="BodyText-parastyle"/>
      </w:pPr>
    </w:p>
    <w:p w14:paraId="30E2289B" w14:textId="77777777" w:rsidR="00CA5317" w:rsidRDefault="0091561A" w:rsidP="0091561A">
      <w:pPr>
        <w:pStyle w:val="Heading4"/>
      </w:pPr>
      <w:r>
        <w:t>Community/ Voluntary Sector</w:t>
      </w:r>
      <w:r w:rsidRPr="0091561A">
        <w:t xml:space="preserve"> </w:t>
      </w:r>
    </w:p>
    <w:p w14:paraId="6F3C8DC2" w14:textId="77777777" w:rsidR="0091561A" w:rsidRDefault="003024D8" w:rsidP="00AE785D">
      <w:pPr>
        <w:pStyle w:val="BodyText-parastyle"/>
      </w:pPr>
      <w:r>
        <w:t xml:space="preserve">Each of the projects has </w:t>
      </w:r>
      <w:r w:rsidR="00190F7F">
        <w:t xml:space="preserve">developed links / relationships with a variety of organisations and individuals in the VCS. </w:t>
      </w:r>
      <w:r w:rsidR="00A81FE1">
        <w:t xml:space="preserve">In total </w:t>
      </w:r>
      <w:r w:rsidR="00333628" w:rsidRPr="00333628">
        <w:t>2</w:t>
      </w:r>
      <w:r w:rsidR="00333628">
        <w:t>,</w:t>
      </w:r>
      <w:r w:rsidR="00333628" w:rsidRPr="00333628">
        <w:t>811</w:t>
      </w:r>
      <w:r w:rsidR="00333628">
        <w:t xml:space="preserve"> </w:t>
      </w:r>
      <w:r w:rsidR="00A81FE1">
        <w:t xml:space="preserve">onward referrals have been made </w:t>
      </w:r>
      <w:r w:rsidR="008B14B1">
        <w:t>by five of the projects</w:t>
      </w:r>
      <w:r w:rsidR="0045104A">
        <w:rPr>
          <w:rStyle w:val="FootnoteReference"/>
        </w:rPr>
        <w:footnoteReference w:id="88"/>
      </w:r>
      <w:r w:rsidR="008B14B1">
        <w:t xml:space="preserve"> </w:t>
      </w:r>
      <w:r w:rsidR="00A81FE1">
        <w:t xml:space="preserve">to </w:t>
      </w:r>
      <w:r w:rsidR="00D05E71">
        <w:t>a range of public sector and</w:t>
      </w:r>
      <w:r w:rsidR="00A81FE1">
        <w:t xml:space="preserve"> VCS organisations. </w:t>
      </w:r>
    </w:p>
    <w:p w14:paraId="01174850" w14:textId="77777777" w:rsidR="00566431" w:rsidRDefault="00190F7F" w:rsidP="00AE785D">
      <w:pPr>
        <w:pStyle w:val="BodyText-parastyle"/>
      </w:pPr>
      <w:r>
        <w:t>Feedback from VCS organisations that have received referrals from Social Prescribing projects has been positive and indicates that they have been able to develop a good working relationship with the staff in their local Social Prescribing project</w:t>
      </w:r>
      <w:r w:rsidR="00566431">
        <w:t xml:space="preserve">. It was felt that without the Social Prescribing project the individuals referred to them would not been aware of the support available and that the referrals they received have been appropriate for their service. </w:t>
      </w:r>
    </w:p>
    <w:p w14:paraId="753DC9D9" w14:textId="77777777" w:rsidR="00A81FE1" w:rsidRDefault="00A81FE1" w:rsidP="00AE785D">
      <w:pPr>
        <w:pStyle w:val="BodyText-parastyle"/>
      </w:pPr>
      <w:r>
        <w:t xml:space="preserve">The different models have worked with the wider community and voluntary sector in a number of different ways, including: </w:t>
      </w:r>
    </w:p>
    <w:p w14:paraId="5E759127" w14:textId="77777777" w:rsidR="00566431" w:rsidRDefault="00A81FE1" w:rsidP="00D53262">
      <w:pPr>
        <w:pStyle w:val="ListParagraph"/>
      </w:pPr>
      <w:r w:rsidRPr="00A81FE1">
        <w:rPr>
          <w:color w:val="00B0F0"/>
        </w:rPr>
        <w:t xml:space="preserve">By having accessible referral routes into the project </w:t>
      </w:r>
      <w:r>
        <w:t>- f</w:t>
      </w:r>
      <w:r w:rsidR="00566431" w:rsidRPr="00566431">
        <w:t>eedback from VCS consultees also highlighted that those projects with multiple referral routes helped to effectively</w:t>
      </w:r>
      <w:r>
        <w:t xml:space="preserve"> </w:t>
      </w:r>
      <w:r w:rsidR="00566431">
        <w:t xml:space="preserve">engage </w:t>
      </w:r>
      <w:r w:rsidR="00566431" w:rsidRPr="006815F8">
        <w:t>community members</w:t>
      </w:r>
      <w:r w:rsidR="00566431">
        <w:t xml:space="preserve">. For example, the My Social Prescription project accepts referrals from a number of routes: </w:t>
      </w:r>
      <w:r w:rsidR="00566431" w:rsidRPr="006815F8">
        <w:t xml:space="preserve">face to face, by phone, by email and online </w:t>
      </w:r>
      <w:r w:rsidR="00566431">
        <w:t>via the</w:t>
      </w:r>
      <w:r w:rsidR="00566431" w:rsidRPr="006815F8">
        <w:t xml:space="preserve"> Essex Co</w:t>
      </w:r>
      <w:r w:rsidR="00566431">
        <w:t>nnects and Connect Well Essex databases. Project staff highlighted that t</w:t>
      </w:r>
      <w:r w:rsidR="00566431" w:rsidRPr="006815F8">
        <w:t>his allows people with different experiences and skills to use the information available in their own way</w:t>
      </w:r>
      <w:r w:rsidR="00566431">
        <w:t>. The project has also</w:t>
      </w:r>
      <w:r>
        <w:t xml:space="preserve"> adapted </w:t>
      </w:r>
      <w:r w:rsidR="00566431">
        <w:t>a</w:t>
      </w:r>
      <w:r w:rsidR="00566431" w:rsidRPr="006815F8">
        <w:t xml:space="preserve"> referral route to social workers </w:t>
      </w:r>
      <w:r w:rsidR="00566431">
        <w:t xml:space="preserve">via a </w:t>
      </w:r>
      <w:r w:rsidR="00566431" w:rsidRPr="006815F8">
        <w:t xml:space="preserve">specific referral form that allows </w:t>
      </w:r>
      <w:r w:rsidR="00566431">
        <w:t>project staff</w:t>
      </w:r>
      <w:r w:rsidR="00566431" w:rsidRPr="006815F8">
        <w:t xml:space="preserve"> to understand some of the compl</w:t>
      </w:r>
      <w:r w:rsidR="00566431">
        <w:t>exities of the cases they refer. This was also highlighted by a social care representative who noted that “</w:t>
      </w:r>
      <w:r w:rsidR="00566431" w:rsidRPr="00A81FE1">
        <w:rPr>
          <w:i/>
        </w:rPr>
        <w:t>the project delivers the outcome needed and makes the relevant connection specific to the adult referred</w:t>
      </w:r>
      <w:r w:rsidR="00566431">
        <w:t>”</w:t>
      </w:r>
      <w:r w:rsidR="003865FB">
        <w:t>.</w:t>
      </w:r>
    </w:p>
    <w:p w14:paraId="5F4E6C31" w14:textId="77777777" w:rsidR="00A81FE1" w:rsidRDefault="00A81FE1" w:rsidP="00D53262">
      <w:pPr>
        <w:pStyle w:val="ListParagraph"/>
      </w:pPr>
      <w:r w:rsidRPr="00A81FE1">
        <w:rPr>
          <w:color w:val="00B0F0"/>
        </w:rPr>
        <w:t xml:space="preserve">Working with the wider community to codesign the project </w:t>
      </w:r>
      <w:r>
        <w:t xml:space="preserve">– in the Mid Essex model the </w:t>
      </w:r>
      <w:r w:rsidRPr="00A81FE1">
        <w:t>development of Connect Well started in late spring/early summer 2014 with discussion of the Mid Essex locality Health and Wellbeing priorities that are shared across the three localities / districts. A mapping exercise was carried out during summer 2014 and the first workshop was held in September 2014 to explore how social prescribing could help address the perceived disconnect between the public and the activities and also between commissioners and providers</w:t>
      </w:r>
      <w:r w:rsidR="003865FB">
        <w:t>.</w:t>
      </w:r>
    </w:p>
    <w:p w14:paraId="5E998AA3" w14:textId="77777777" w:rsidR="003865FB" w:rsidRDefault="003865FB" w:rsidP="00AE785D">
      <w:pPr>
        <w:pStyle w:val="BodyText-parastyle"/>
      </w:pPr>
      <w:r>
        <w:t xml:space="preserve">However feedback from project delivery organisations has highlighted that in some instances </w:t>
      </w:r>
      <w:r w:rsidR="003F7C91">
        <w:t>the VCS organisations referred to</w:t>
      </w:r>
      <w:r>
        <w:t xml:space="preserve"> did not have sufficient resources to meet the demand created by the Social Prescribing projects. For example one delivery organisation reported “</w:t>
      </w:r>
      <w:r w:rsidRPr="003865FB">
        <w:rPr>
          <w:i/>
        </w:rPr>
        <w:t>we have seen limited capacity amongst some organisations, the loss of others entirely or the emergence of new projects with more capacity…. our biggest area of concern was befriending where we found disparity in the services offered and great demands on resources</w:t>
      </w:r>
      <w:r>
        <w:t xml:space="preserve">”. </w:t>
      </w:r>
      <w:r w:rsidR="00F04482">
        <w:t>In addition, delivery organisations highlighted that sustainability of services could potentially be an issue in the future</w:t>
      </w:r>
      <w:r w:rsidR="00C31175">
        <w:t>.</w:t>
      </w:r>
      <w:r w:rsidR="00F04482">
        <w:t xml:space="preserve"> </w:t>
      </w:r>
    </w:p>
    <w:p w14:paraId="6AAA9958" w14:textId="5C41FCDC" w:rsidR="00665776" w:rsidRDefault="00DC7AFE" w:rsidP="00DC7AFE">
      <w:pPr>
        <w:pStyle w:val="Heading2"/>
      </w:pPr>
      <w:bookmarkStart w:id="50" w:name="_Toc497934280"/>
      <w:r>
        <w:t>Qualitative Findings / Case Studies</w:t>
      </w:r>
      <w:bookmarkEnd w:id="50"/>
    </w:p>
    <w:p w14:paraId="2DC9C7F2" w14:textId="77777777" w:rsidR="00A81FE1" w:rsidRPr="00720CC0" w:rsidRDefault="00A81FE1" w:rsidP="00AE785D">
      <w:pPr>
        <w:pStyle w:val="BodyText-parastyle"/>
      </w:pPr>
      <w:r w:rsidRPr="00771CC1">
        <w:rPr>
          <w:color w:val="00B0F0"/>
        </w:rPr>
        <w:t>Case Study One</w:t>
      </w:r>
      <w:r w:rsidR="00FF26E1" w:rsidRPr="00771CC1">
        <w:rPr>
          <w:color w:val="00B0F0"/>
        </w:rPr>
        <w:t xml:space="preserve"> – </w:t>
      </w:r>
      <w:r w:rsidR="00101C37" w:rsidRPr="00771CC1">
        <w:rPr>
          <w:color w:val="00B0F0"/>
        </w:rPr>
        <w:t xml:space="preserve">Reduced </w:t>
      </w:r>
      <w:r w:rsidR="00FF26E1" w:rsidRPr="00771CC1">
        <w:rPr>
          <w:color w:val="00B0F0"/>
        </w:rPr>
        <w:t>Social Isolation (</w:t>
      </w:r>
      <w:r w:rsidR="00D23816" w:rsidRPr="00771CC1">
        <w:rPr>
          <w:color w:val="00B0F0"/>
        </w:rPr>
        <w:t>My Social Prescription</w:t>
      </w:r>
      <w:r w:rsidR="00FF26E1" w:rsidRPr="00771CC1">
        <w:rPr>
          <w:color w:val="00B0F0"/>
        </w:rPr>
        <w:t>)</w:t>
      </w:r>
    </w:p>
    <w:p w14:paraId="310855DF" w14:textId="77777777" w:rsidR="00A81FE1" w:rsidRPr="004F1265" w:rsidRDefault="00A81FE1" w:rsidP="00AE785D">
      <w:pPr>
        <w:pStyle w:val="BodyText-parastyle"/>
      </w:pPr>
      <w:r w:rsidRPr="004F1265">
        <w:t xml:space="preserve">The </w:t>
      </w:r>
      <w:r w:rsidR="00FF26E1">
        <w:t xml:space="preserve">My Social Prescription </w:t>
      </w:r>
      <w:r w:rsidRPr="004F1265">
        <w:t xml:space="preserve">project </w:t>
      </w:r>
      <w:r>
        <w:t>received a high number of referrals and engagement from social care teams</w:t>
      </w:r>
      <w:r w:rsidRPr="004F1265">
        <w:t xml:space="preserve">. The following case study details the experience of one referral from a social worker perspective </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FFFFFF" w:themeFill="background1"/>
        <w:tblLook w:val="0600" w:firstRow="0" w:lastRow="0" w:firstColumn="0" w:lastColumn="0" w:noHBand="1" w:noVBand="1"/>
      </w:tblPr>
      <w:tblGrid>
        <w:gridCol w:w="9759"/>
      </w:tblGrid>
      <w:tr w:rsidR="00A81FE1" w14:paraId="5FBF57CD" w14:textId="77777777" w:rsidTr="00761A89">
        <w:tc>
          <w:tcPr>
            <w:tcW w:w="9759" w:type="dxa"/>
            <w:shd w:val="clear" w:color="auto" w:fill="FFFFFF" w:themeFill="background1"/>
          </w:tcPr>
          <w:p w14:paraId="27D32661" w14:textId="77777777" w:rsidR="00A81FE1" w:rsidRPr="004F1265" w:rsidRDefault="00A81FE1" w:rsidP="00AE785D">
            <w:pPr>
              <w:pStyle w:val="BodyText-parastyle"/>
            </w:pPr>
            <w:r w:rsidRPr="004F1265">
              <w:t>‘I have worked with [MSP] in relation to a case, the g</w:t>
            </w:r>
            <w:r>
              <w:t xml:space="preserve">entleman was socially isolated </w:t>
            </w:r>
            <w:r w:rsidRPr="004F1265">
              <w:t>and</w:t>
            </w:r>
            <w:r>
              <w:t xml:space="preserve"> had limited support networks. </w:t>
            </w:r>
          </w:p>
          <w:p w14:paraId="6A740CF6" w14:textId="77777777" w:rsidR="00A81FE1" w:rsidRPr="004F1265" w:rsidRDefault="00A81FE1" w:rsidP="00AE785D">
            <w:pPr>
              <w:pStyle w:val="BodyText-parastyle"/>
            </w:pPr>
            <w:r w:rsidRPr="004F1265">
              <w:t>MSP was a very positive and engaging process as</w:t>
            </w:r>
            <w:r w:rsidR="00057938">
              <w:t xml:space="preserve"> it</w:t>
            </w:r>
            <w:r w:rsidRPr="004F1265">
              <w:t xml:space="preserve"> was based on a strengths/asset based approach. [Staff] and the MSP approach was person centred which enabled the gentleman to identify what resources he currently had and how these could be built upon. He was able to reflect on life experiences and how he could connect to local groups in the community, to offer his skills and knowledge and in return be able to engage in volunteering from which he would gain fulfilment, structure to his day and a sense of purpose and identity. </w:t>
            </w:r>
          </w:p>
          <w:p w14:paraId="01221C47" w14:textId="77777777" w:rsidR="00A81FE1" w:rsidRPr="004F1265" w:rsidRDefault="00A81FE1" w:rsidP="00AE785D">
            <w:pPr>
              <w:pStyle w:val="BodyText-parastyle"/>
            </w:pPr>
            <w:r w:rsidRPr="004F1265">
              <w:t xml:space="preserve">[Team </w:t>
            </w:r>
            <w:r>
              <w:t>m</w:t>
            </w:r>
            <w:r w:rsidRPr="004F1265">
              <w:t xml:space="preserve">ember] supported the gentlemen to look at volunteering opportunities where his skills could be utilised and with the volunteering application process. The gentleman lacked self-confidence, </w:t>
            </w:r>
            <w:r>
              <w:t>however the [t</w:t>
            </w:r>
            <w:r w:rsidRPr="004F1265">
              <w:t xml:space="preserve">eam </w:t>
            </w:r>
            <w:r>
              <w:t>m</w:t>
            </w:r>
            <w:r w:rsidRPr="004F1265">
              <w:t>ember] was responsive and sensitive in her approach. She explained MSP and each part of the process, answering all his questions fully.</w:t>
            </w:r>
          </w:p>
          <w:p w14:paraId="14A37A48" w14:textId="77777777" w:rsidR="00A81FE1" w:rsidRPr="004F1265" w:rsidRDefault="00A81FE1" w:rsidP="00AE785D">
            <w:pPr>
              <w:pStyle w:val="BodyText-parastyle"/>
            </w:pPr>
            <w:r w:rsidRPr="004F1265">
              <w:t>[Team Member] linked in with the volunteering placement and provided a named link person, this enabled the gentleman to have a planned meet and greet before starting his volunteering. He was able to questions and familiarise himself with the people and envi</w:t>
            </w:r>
            <w:r>
              <w:t>ronment reducing any anxieties.</w:t>
            </w:r>
          </w:p>
          <w:p w14:paraId="5E96CF42" w14:textId="77777777" w:rsidR="00A81FE1" w:rsidRPr="004F1265" w:rsidRDefault="00A81FE1" w:rsidP="00AE785D">
            <w:pPr>
              <w:pStyle w:val="BodyText-parastyle"/>
            </w:pPr>
            <w:r w:rsidRPr="004F1265">
              <w:t>The gentleman is now ready to start volunteering and is positive about the benefits this will bring to his wellbeing.</w:t>
            </w:r>
          </w:p>
          <w:p w14:paraId="5A99F7AC" w14:textId="77777777" w:rsidR="00A81FE1" w:rsidRPr="00A3030A" w:rsidRDefault="00A81FE1" w:rsidP="00AE785D">
            <w:pPr>
              <w:pStyle w:val="BodyText-parastyle"/>
            </w:pPr>
            <w:r w:rsidRPr="004F1265">
              <w:t>It is my experience that MSP through its utilisation of community resources enables people to make choices which can have a direct impact on their quality life, in addition it has the potential to reduce the pressures felt by already stretched public services.’</w:t>
            </w:r>
          </w:p>
        </w:tc>
      </w:tr>
    </w:tbl>
    <w:p w14:paraId="4A9836E7" w14:textId="77777777" w:rsidR="00FF26E1" w:rsidRDefault="00A81FE1" w:rsidP="00D23816">
      <w:pPr>
        <w:pStyle w:val="Quote"/>
        <w:rPr>
          <w:lang w:val="en-GB" w:eastAsia="en-GB"/>
        </w:rPr>
      </w:pPr>
      <w:r>
        <w:rPr>
          <w:lang w:val="en-GB" w:eastAsia="en-GB"/>
        </w:rPr>
        <w:t>Source: CCVS</w:t>
      </w:r>
    </w:p>
    <w:p w14:paraId="4C7F172E" w14:textId="77777777" w:rsidR="00601984" w:rsidRDefault="00601984" w:rsidP="00601984">
      <w:pPr>
        <w:rPr>
          <w:lang w:val="en-GB" w:eastAsia="en-GB"/>
        </w:rPr>
      </w:pPr>
    </w:p>
    <w:p w14:paraId="42A922B1" w14:textId="77777777" w:rsidR="00601984" w:rsidRDefault="00601984" w:rsidP="00601984">
      <w:pPr>
        <w:rPr>
          <w:lang w:val="en-GB" w:eastAsia="en-GB"/>
        </w:rPr>
      </w:pPr>
    </w:p>
    <w:p w14:paraId="5C84752A" w14:textId="77777777" w:rsidR="00601984" w:rsidRPr="00601984" w:rsidRDefault="00601984" w:rsidP="00601984">
      <w:pPr>
        <w:rPr>
          <w:lang w:val="en-GB" w:eastAsia="en-GB"/>
        </w:rPr>
      </w:pPr>
    </w:p>
    <w:p w14:paraId="608FB9E0" w14:textId="77777777" w:rsidR="00FF26E1" w:rsidRPr="00720CC0" w:rsidRDefault="00FF26E1" w:rsidP="00AE785D">
      <w:pPr>
        <w:pStyle w:val="BodyText-parastyle"/>
      </w:pPr>
      <w:r w:rsidRPr="00771CC1">
        <w:rPr>
          <w:color w:val="00B0F0"/>
        </w:rPr>
        <w:t xml:space="preserve">Case Study Two – </w:t>
      </w:r>
      <w:r w:rsidR="00101C37" w:rsidRPr="00771CC1">
        <w:rPr>
          <w:color w:val="00B0F0"/>
        </w:rPr>
        <w:t xml:space="preserve">Reduced </w:t>
      </w:r>
      <w:r w:rsidRPr="00771CC1">
        <w:rPr>
          <w:color w:val="00B0F0"/>
        </w:rPr>
        <w:t xml:space="preserve">Anxiety / </w:t>
      </w:r>
      <w:r w:rsidR="004D2E4C" w:rsidRPr="00771CC1">
        <w:rPr>
          <w:color w:val="00B0F0"/>
        </w:rPr>
        <w:t>Improved Self</w:t>
      </w:r>
      <w:r w:rsidRPr="00771CC1">
        <w:rPr>
          <w:color w:val="00B0F0"/>
        </w:rPr>
        <w:t>-Esteem (Ways to Wellness)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FF26E1" w14:paraId="6C0CB79E" w14:textId="77777777" w:rsidTr="00FF26E1">
        <w:tc>
          <w:tcPr>
            <w:tcW w:w="9759" w:type="dxa"/>
            <w:shd w:val="clear" w:color="auto" w:fill="auto"/>
          </w:tcPr>
          <w:p w14:paraId="45E0AE53" w14:textId="2B4F46F9" w:rsidR="00720CC0" w:rsidRDefault="00FF26E1" w:rsidP="00AE785D">
            <w:pPr>
              <w:pStyle w:val="BodyText-parastyle"/>
            </w:pPr>
            <w:r>
              <w:t xml:space="preserve">The Ways to Wellness scheme was contacted by a young lady who was extremely anxious, had very low self-esteem and was experiencing self-harm and suicidal thoughts.  It was quickly established that she had visited her GP two weeks previously and was awaiting an appointment at the Mental Health Unit the following week. Whilst engaging with the client, she was very panicky and made it very clear that she could not cope with </w:t>
            </w:r>
            <w:r w:rsidR="00C70808">
              <w:t>waiting</w:t>
            </w:r>
            <w:r>
              <w:t xml:space="preserve"> for the appointment as her feelings of self-harming and</w:t>
            </w:r>
            <w:r w:rsidR="00601984">
              <w:t xml:space="preserve"> suicide were overwhelming her. </w:t>
            </w:r>
          </w:p>
          <w:p w14:paraId="04DABC9E" w14:textId="578C6F82" w:rsidR="00FF26E1" w:rsidRDefault="00FF26E1" w:rsidP="00AE785D">
            <w:pPr>
              <w:pStyle w:val="BodyText-parastyle"/>
            </w:pPr>
            <w:r>
              <w:t xml:space="preserve">Details of a local Counselling service was discussed as well as alternative therapies and the client said that she had considered trying Meditation. The discussion was concluded with the team member stating they would contact the counselling service on her behalf, find out about courses she could register with at the Recovery College and source local Meditation classes. </w:t>
            </w:r>
            <w:r w:rsidR="00470199">
              <w:t>The CAVS team member followed up with the GP who contacted the</w:t>
            </w:r>
            <w:r>
              <w:t xml:space="preserve"> local counselling service and an appoin</w:t>
            </w:r>
            <w:r w:rsidR="009645A2">
              <w:t>tment was made within 48 hours.</w:t>
            </w:r>
            <w:r>
              <w:t xml:space="preserve"> </w:t>
            </w:r>
          </w:p>
          <w:p w14:paraId="56829EA3" w14:textId="77777777" w:rsidR="00FF26E1" w:rsidRPr="00596528" w:rsidRDefault="00FF26E1" w:rsidP="00AE785D">
            <w:pPr>
              <w:pStyle w:val="BodyText-parastyle"/>
              <w:rPr>
                <w:sz w:val="20"/>
              </w:rPr>
            </w:pPr>
            <w:r>
              <w:t xml:space="preserve">A follow up was made with the client a few days later.  She confirmed that she had attended the counselling session which had been beneficial and was intending to continue with these for the foreseeable future.  She had been assessed by the Mental Health Unit and support was being put in place.  She had </w:t>
            </w:r>
            <w:r w:rsidR="00470199">
              <w:t xml:space="preserve">also </w:t>
            </w:r>
            <w:r>
              <w:t xml:space="preserve">booked a Meditation class </w:t>
            </w:r>
            <w:r w:rsidR="00470199">
              <w:t>and stated</w:t>
            </w:r>
            <w:r>
              <w:t xml:space="preserve"> that since speaking with CAVS, she had felt that there were options open to her and she felt privileged that someone had taken the time to listen to her.  If she had not spoken to the team member that day she felt very fearful of what could have happened and felt that this conversation “saved her life”. </w:t>
            </w:r>
          </w:p>
        </w:tc>
      </w:tr>
    </w:tbl>
    <w:p w14:paraId="3EED1186" w14:textId="77777777" w:rsidR="00FF26E1" w:rsidRDefault="00FF26E1" w:rsidP="00FF26E1">
      <w:pPr>
        <w:pStyle w:val="Quote"/>
        <w:rPr>
          <w:lang w:val="en-GB" w:eastAsia="en-GB"/>
        </w:rPr>
      </w:pPr>
      <w:r>
        <w:rPr>
          <w:lang w:val="en-GB" w:eastAsia="en-GB"/>
        </w:rPr>
        <w:t xml:space="preserve">Source: Ways to Wellness </w:t>
      </w:r>
    </w:p>
    <w:p w14:paraId="087D3DDD" w14:textId="77777777" w:rsidR="00720CC0" w:rsidRDefault="00720CC0" w:rsidP="00720CC0">
      <w:pPr>
        <w:rPr>
          <w:lang w:val="en-GB" w:eastAsia="en-GB"/>
        </w:rPr>
      </w:pPr>
    </w:p>
    <w:p w14:paraId="47BB0C85" w14:textId="77777777" w:rsidR="00720CC0" w:rsidRDefault="00720CC0" w:rsidP="00720CC0">
      <w:pPr>
        <w:rPr>
          <w:lang w:val="en-GB" w:eastAsia="en-GB"/>
        </w:rPr>
      </w:pPr>
    </w:p>
    <w:p w14:paraId="6DDC1DDC" w14:textId="77777777" w:rsidR="00720CC0" w:rsidRDefault="00720CC0" w:rsidP="00720CC0">
      <w:pPr>
        <w:rPr>
          <w:lang w:val="en-GB" w:eastAsia="en-GB"/>
        </w:rPr>
      </w:pPr>
    </w:p>
    <w:p w14:paraId="30726F11" w14:textId="77777777" w:rsidR="00720CC0" w:rsidRDefault="00720CC0" w:rsidP="00720CC0">
      <w:pPr>
        <w:rPr>
          <w:lang w:val="en-GB" w:eastAsia="en-GB"/>
        </w:rPr>
      </w:pPr>
    </w:p>
    <w:p w14:paraId="311BB99E" w14:textId="77777777" w:rsidR="00720CC0" w:rsidRDefault="00720CC0" w:rsidP="00720CC0">
      <w:pPr>
        <w:rPr>
          <w:lang w:val="en-GB" w:eastAsia="en-GB"/>
        </w:rPr>
      </w:pPr>
    </w:p>
    <w:p w14:paraId="0FAC9F18" w14:textId="77777777" w:rsidR="00720CC0" w:rsidRDefault="00720CC0" w:rsidP="00720CC0">
      <w:pPr>
        <w:rPr>
          <w:lang w:val="en-GB" w:eastAsia="en-GB"/>
        </w:rPr>
      </w:pPr>
    </w:p>
    <w:p w14:paraId="6C601423" w14:textId="77777777" w:rsidR="00720CC0" w:rsidRDefault="00720CC0" w:rsidP="00720CC0">
      <w:pPr>
        <w:rPr>
          <w:lang w:val="en-GB" w:eastAsia="en-GB"/>
        </w:rPr>
      </w:pPr>
    </w:p>
    <w:p w14:paraId="3CF17A4D" w14:textId="77777777" w:rsidR="00720CC0" w:rsidRDefault="00720CC0" w:rsidP="00720CC0">
      <w:pPr>
        <w:rPr>
          <w:lang w:val="en-GB" w:eastAsia="en-GB"/>
        </w:rPr>
      </w:pPr>
    </w:p>
    <w:p w14:paraId="16EDB1EB" w14:textId="77777777" w:rsidR="00720CC0" w:rsidRDefault="00720CC0" w:rsidP="00720CC0">
      <w:pPr>
        <w:rPr>
          <w:lang w:val="en-GB" w:eastAsia="en-GB"/>
        </w:rPr>
      </w:pPr>
    </w:p>
    <w:p w14:paraId="37CF44F6" w14:textId="77777777" w:rsidR="00720CC0" w:rsidRDefault="00720CC0" w:rsidP="00720CC0">
      <w:pPr>
        <w:rPr>
          <w:lang w:val="en-GB" w:eastAsia="en-GB"/>
        </w:rPr>
      </w:pPr>
    </w:p>
    <w:p w14:paraId="25955AE0" w14:textId="77777777" w:rsidR="00720CC0" w:rsidRDefault="00720CC0" w:rsidP="00720CC0">
      <w:pPr>
        <w:rPr>
          <w:lang w:val="en-GB" w:eastAsia="en-GB"/>
        </w:rPr>
      </w:pPr>
    </w:p>
    <w:p w14:paraId="27C61587" w14:textId="77777777" w:rsidR="00FF26E1" w:rsidRPr="00720CC0" w:rsidRDefault="00FF26E1" w:rsidP="00AE785D">
      <w:pPr>
        <w:pStyle w:val="BodyText-parastyle"/>
      </w:pPr>
      <w:r w:rsidRPr="00771CC1">
        <w:rPr>
          <w:color w:val="00B0F0"/>
        </w:rPr>
        <w:t xml:space="preserve">Case Study </w:t>
      </w:r>
      <w:r w:rsidR="009645A2" w:rsidRPr="00771CC1">
        <w:rPr>
          <w:color w:val="00B0F0"/>
        </w:rPr>
        <w:t>Three</w:t>
      </w:r>
      <w:r w:rsidRPr="00771CC1">
        <w:rPr>
          <w:color w:val="00B0F0"/>
        </w:rPr>
        <w:t xml:space="preserve"> –</w:t>
      </w:r>
      <w:r w:rsidR="00D23816" w:rsidRPr="00771CC1">
        <w:rPr>
          <w:color w:val="00B0F0"/>
        </w:rPr>
        <w:t xml:space="preserve"> Increased Confidence (Smart Life)</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D23816" w14:paraId="6435981D" w14:textId="77777777" w:rsidTr="005F660E">
        <w:tc>
          <w:tcPr>
            <w:tcW w:w="9759" w:type="dxa"/>
            <w:shd w:val="clear" w:color="auto" w:fill="auto"/>
          </w:tcPr>
          <w:p w14:paraId="75349955" w14:textId="77777777" w:rsidR="00470199" w:rsidRPr="008E1925" w:rsidRDefault="00470199" w:rsidP="00AE785D">
            <w:pPr>
              <w:pStyle w:val="BodyText-parastyle"/>
              <w:rPr>
                <w:szCs w:val="24"/>
              </w:rPr>
            </w:pPr>
            <w:r>
              <w:t>The client i</w:t>
            </w:r>
            <w:r w:rsidRPr="008E1925">
              <w:t xml:space="preserve">s a 71 year old widow </w:t>
            </w:r>
            <w:r>
              <w:t xml:space="preserve">who </w:t>
            </w:r>
            <w:r w:rsidRPr="008E1925">
              <w:t>lives alone with Parkinson’s Disease;</w:t>
            </w:r>
            <w:r>
              <w:t xml:space="preserve"> </w:t>
            </w:r>
            <w:r>
              <w:rPr>
                <w:color w:val="000000"/>
              </w:rPr>
              <w:t>s</w:t>
            </w:r>
            <w:r w:rsidRPr="002C3D27">
              <w:t xml:space="preserve">he </w:t>
            </w:r>
            <w:r>
              <w:t xml:space="preserve">had </w:t>
            </w:r>
            <w:r w:rsidRPr="002C3D27">
              <w:t xml:space="preserve">attended surgery with </w:t>
            </w:r>
            <w:r>
              <w:t xml:space="preserve">her </w:t>
            </w:r>
            <w:r w:rsidRPr="002C3D27">
              <w:t xml:space="preserve">daughter in law in a wheelchair and had no support or advice since diagnosis. </w:t>
            </w:r>
            <w:r w:rsidRPr="008E1925">
              <w:rPr>
                <w:color w:val="000000"/>
                <w:szCs w:val="24"/>
              </w:rPr>
              <w:t xml:space="preserve"> </w:t>
            </w:r>
            <w:r>
              <w:rPr>
                <w:color w:val="000000"/>
              </w:rPr>
              <w:t xml:space="preserve">She had physical needs, however no mental health support was identified. In addition her family, as her main carers, were also seeking support and she </w:t>
            </w:r>
            <w:r w:rsidRPr="008E1925">
              <w:rPr>
                <w:color w:val="000000"/>
                <w:szCs w:val="24"/>
              </w:rPr>
              <w:t>was referred by her GP</w:t>
            </w:r>
            <w:r>
              <w:rPr>
                <w:color w:val="000000"/>
              </w:rPr>
              <w:t>. She was</w:t>
            </w:r>
            <w:r w:rsidRPr="008E1925">
              <w:rPr>
                <w:color w:val="000000"/>
                <w:szCs w:val="24"/>
              </w:rPr>
              <w:t xml:space="preserve"> seen at one of the first clinics held i</w:t>
            </w:r>
            <w:r>
              <w:rPr>
                <w:color w:val="000000"/>
              </w:rPr>
              <w:t xml:space="preserve">n Thaxted surgery. </w:t>
            </w:r>
            <w:r w:rsidRPr="00120CFC">
              <w:rPr>
                <w:szCs w:val="24"/>
              </w:rPr>
              <w:t>Actions taken following meeting with PIC</w:t>
            </w:r>
            <w:r>
              <w:rPr>
                <w:szCs w:val="24"/>
              </w:rPr>
              <w:t xml:space="preserve"> included</w:t>
            </w:r>
            <w:r w:rsidRPr="0098345E">
              <w:rPr>
                <w:szCs w:val="24"/>
              </w:rPr>
              <w:t>:</w:t>
            </w:r>
          </w:p>
          <w:p w14:paraId="7DEB420B" w14:textId="77777777" w:rsidR="00470199" w:rsidRPr="00837722" w:rsidRDefault="00470199" w:rsidP="00D53262">
            <w:pPr>
              <w:pStyle w:val="ListParagraph"/>
            </w:pPr>
            <w:r w:rsidRPr="00837722">
              <w:t>Referral to Adult Social Care (ASC) for urgent care needs assessment.</w:t>
            </w:r>
          </w:p>
          <w:p w14:paraId="45519D0D" w14:textId="77777777" w:rsidR="00470199" w:rsidRPr="00837722" w:rsidRDefault="00470199" w:rsidP="00D53262">
            <w:pPr>
              <w:pStyle w:val="ListParagraph"/>
            </w:pPr>
            <w:r w:rsidRPr="00837722">
              <w:t>Referral back to GP for wheelchair referral.</w:t>
            </w:r>
          </w:p>
          <w:p w14:paraId="6702DBB4" w14:textId="77777777" w:rsidR="00470199" w:rsidRPr="00837722" w:rsidRDefault="00470199" w:rsidP="00D53262">
            <w:pPr>
              <w:pStyle w:val="ListParagraph"/>
            </w:pPr>
            <w:r w:rsidRPr="00837722">
              <w:t>Referral to ASC for bath chair and commode - both items received.</w:t>
            </w:r>
          </w:p>
          <w:p w14:paraId="73B37C60" w14:textId="77777777" w:rsidR="00470199" w:rsidRPr="00837722" w:rsidRDefault="00470199" w:rsidP="00D53262">
            <w:pPr>
              <w:pStyle w:val="ListParagraph"/>
            </w:pPr>
            <w:r w:rsidRPr="00837722">
              <w:t>Referral to Age UK Essex Information &amp; Advice for Age UK Attendance Allowance guide to be sent to daughter in law to help with completion of the attendance allowance form - now in receipt of attendance allowance.</w:t>
            </w:r>
          </w:p>
          <w:p w14:paraId="47B775F8" w14:textId="77777777" w:rsidR="00D23816" w:rsidRPr="00273A86" w:rsidRDefault="00470199" w:rsidP="00AE785D">
            <w:pPr>
              <w:pStyle w:val="BodyText-parastyle"/>
              <w:rPr>
                <w:b/>
              </w:rPr>
            </w:pPr>
            <w:r>
              <w:t>As a result of engagement with the PIC, the client received</w:t>
            </w:r>
            <w:r w:rsidRPr="008E1925">
              <w:t xml:space="preserve"> a wheelchair specific for her needs, </w:t>
            </w:r>
            <w:r w:rsidR="009645A2" w:rsidRPr="008E1925">
              <w:t xml:space="preserve">attendance allowance </w:t>
            </w:r>
            <w:r w:rsidRPr="008E1925">
              <w:t xml:space="preserve">so she could afford to pay for </w:t>
            </w:r>
            <w:r>
              <w:t xml:space="preserve">outside </w:t>
            </w:r>
            <w:r w:rsidRPr="008E1925">
              <w:t>help, and aids to help her with personal care.</w:t>
            </w:r>
          </w:p>
        </w:tc>
      </w:tr>
    </w:tbl>
    <w:p w14:paraId="77197563" w14:textId="77777777" w:rsidR="00893F1C" w:rsidRDefault="002F7652" w:rsidP="002F7652">
      <w:pPr>
        <w:pStyle w:val="Quote"/>
        <w:rPr>
          <w:lang w:val="en-GB" w:eastAsia="en-GB"/>
        </w:rPr>
      </w:pPr>
      <w:r>
        <w:rPr>
          <w:lang w:val="en-GB" w:eastAsia="en-GB"/>
        </w:rPr>
        <w:t>Source: Age UK Essex</w:t>
      </w:r>
    </w:p>
    <w:p w14:paraId="26B9438A" w14:textId="77777777" w:rsidR="00893F1C" w:rsidRPr="00720CC0" w:rsidRDefault="00893F1C" w:rsidP="00AE785D">
      <w:pPr>
        <w:pStyle w:val="BodyText-parastyle"/>
      </w:pPr>
      <w:r w:rsidRPr="00771CC1">
        <w:rPr>
          <w:color w:val="00B0F0"/>
        </w:rPr>
        <w:t xml:space="preserve">Case Study </w:t>
      </w:r>
      <w:r w:rsidR="009645A2" w:rsidRPr="00771CC1">
        <w:rPr>
          <w:color w:val="00B0F0"/>
        </w:rPr>
        <w:t>Four</w:t>
      </w:r>
      <w:r w:rsidRPr="00771CC1">
        <w:rPr>
          <w:color w:val="00B0F0"/>
        </w:rPr>
        <w:t xml:space="preserve"> – Reduced Social Isolation (Southend on Sea Social Prescribing Pilot)</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00" w:firstRow="0" w:lastRow="0" w:firstColumn="0" w:lastColumn="0" w:noHBand="1" w:noVBand="1"/>
      </w:tblPr>
      <w:tblGrid>
        <w:gridCol w:w="9759"/>
      </w:tblGrid>
      <w:tr w:rsidR="00893F1C" w14:paraId="694015E2" w14:textId="77777777" w:rsidTr="00242A80">
        <w:tc>
          <w:tcPr>
            <w:tcW w:w="9759" w:type="dxa"/>
            <w:shd w:val="clear" w:color="auto" w:fill="auto"/>
          </w:tcPr>
          <w:p w14:paraId="2C60C041" w14:textId="77777777" w:rsidR="00893F1C" w:rsidRPr="00893F1C" w:rsidRDefault="009645A2" w:rsidP="00AE785D">
            <w:pPr>
              <w:pStyle w:val="BodyText-parastyle"/>
            </w:pPr>
            <w:r>
              <w:t>The client</w:t>
            </w:r>
            <w:r w:rsidR="00893F1C" w:rsidRPr="00893F1C">
              <w:t xml:space="preserve"> was signposted to Social Prescribing via a self-management course which had been recommended by her doctor. She had recently moved out of London following retirement and was struggling to adjust to the new environment. She said she did not know where to go to get help for medical and loneliness-related problems an</w:t>
            </w:r>
            <w:r w:rsidR="00893F1C">
              <w:t xml:space="preserve">d ended up going to the doctor. </w:t>
            </w:r>
            <w:r w:rsidR="00893F1C" w:rsidRPr="00893F1C">
              <w:t>Mary got involved in Social Prescribing in order to improve her overall wellbeing and the range of activities she undertook. She found herself becoming more isolated and with less reason to leave the house or take positive steps to maintain a healthy life.</w:t>
            </w:r>
            <w:r w:rsidR="00893F1C">
              <w:t xml:space="preserve"> </w:t>
            </w:r>
            <w:r w:rsidR="00893F1C" w:rsidRPr="00893F1C">
              <w:t>As a result of her involvement in Social Prescribing, she became involved in a very wide range of social, educational, cultural and health-related activities. These included swimming and stretching classes at the nearby gym to provide exercise.</w:t>
            </w:r>
            <w:r w:rsidR="00893F1C">
              <w:t xml:space="preserve"> </w:t>
            </w:r>
            <w:r w:rsidR="00893F1C" w:rsidRPr="00893F1C">
              <w:t>Additionally, Mary was signposted by her Social Prescribing co-ordinator and the SAVS team to other local services. These included getting involved with singing in a local choir, links to historical associations and heritage society, carrying out archival work and original historical research and recovering manuscripts on local music in the area.</w:t>
            </w:r>
            <w:r w:rsidR="00893F1C">
              <w:t xml:space="preserve"> </w:t>
            </w:r>
            <w:r w:rsidR="00893F1C" w:rsidRPr="00893F1C">
              <w:t xml:space="preserve">Mary said that her emotional health and wellbeing-related mental problems had stabilised or subsided. She had a regular routine throughout the week as well as a calendar containing social, health-related and cultural events on a regular basis. </w:t>
            </w:r>
          </w:p>
          <w:p w14:paraId="16BC3D28" w14:textId="77777777" w:rsidR="00893F1C" w:rsidRPr="00893F1C" w:rsidRDefault="00893F1C" w:rsidP="00AE785D">
            <w:pPr>
              <w:pStyle w:val="BodyText-parastyle"/>
            </w:pPr>
            <w:r w:rsidRPr="00893F1C">
              <w:t>“</w:t>
            </w:r>
            <w:r w:rsidRPr="009645A2">
              <w:t>I find that these activities give me structure. You have diary dates and you can actually do stuff. Don’t just get stuck in a groove that can last weeks and months if you don’t short-circuit it. It’s really helped me to develop a social life</w:t>
            </w:r>
            <w:r w:rsidRPr="00893F1C">
              <w:t>.”</w:t>
            </w:r>
          </w:p>
          <w:p w14:paraId="4E82DC35" w14:textId="77777777" w:rsidR="00893F1C" w:rsidRPr="00893F1C" w:rsidRDefault="00893F1C" w:rsidP="00AE785D">
            <w:pPr>
              <w:pStyle w:val="BodyText-parastyle"/>
            </w:pPr>
            <w:r w:rsidRPr="00893F1C">
              <w:t>She said the most important part of Social Prescribing was the social and activity-based structure of diary dates and activities. She said that, when trying to be proactive in the past, she shied away from engaging, and fell into ‘a groove’ which could last weeks or even months. The support of Social Prescribing peers, SAVS staff and new friends from social activities had given her a sense of purpose, community belonging and fresh confidence. She said she had built a social life on the basis of the interactions which had occurred as a result of Social Prescribing.</w:t>
            </w:r>
            <w:r>
              <w:t xml:space="preserve"> </w:t>
            </w:r>
            <w:r w:rsidRPr="00893F1C">
              <w:t xml:space="preserve">Mary reported major changes in social and emotional wellbeing, saying she had made new friends and looked forward to the future ‘for the first time in a long time’.  </w:t>
            </w:r>
          </w:p>
          <w:p w14:paraId="0D46AB55" w14:textId="77777777" w:rsidR="00893F1C" w:rsidRPr="00893F1C" w:rsidRDefault="00893F1C" w:rsidP="00AE785D">
            <w:pPr>
              <w:pStyle w:val="BodyText-parastyle"/>
            </w:pPr>
            <w:r w:rsidRPr="00893F1C">
              <w:t>“</w:t>
            </w:r>
            <w:r w:rsidRPr="009645A2">
              <w:t>Social Prescribing really helped me to develop a social life. Life is definitely better now than when I arrived in Southend. Life would have been far less fulfilling [in the absence of the service]. It really contributes to my mental state and overall sense of balance</w:t>
            </w:r>
            <w:r w:rsidRPr="00893F1C">
              <w:t>.”</w:t>
            </w:r>
          </w:p>
          <w:p w14:paraId="6B2799B1" w14:textId="77777777" w:rsidR="00893F1C" w:rsidRPr="00893F1C" w:rsidRDefault="00893F1C" w:rsidP="00AE785D">
            <w:pPr>
              <w:pStyle w:val="BodyText-parastyle"/>
            </w:pPr>
            <w:r w:rsidRPr="00893F1C">
              <w:t>Mary believed that problems which were fundamentally social – i.e. feeling depressed through loneliness – had been addressed through Social Prescribing. Previously, she would have visited her doctor or been signposted on to a range of medical professionals to receive medication or treatment for loneliness-related conditions such as depression. In addition to social and emotional wellbeing and community engagement she also reported anecdotal improvements in physical health from involvement in gym swimming and ‘social exercise’.</w:t>
            </w:r>
          </w:p>
        </w:tc>
      </w:tr>
    </w:tbl>
    <w:p w14:paraId="5A945F3C" w14:textId="77777777" w:rsidR="00893F1C" w:rsidRDefault="00893F1C" w:rsidP="00893F1C">
      <w:pPr>
        <w:pStyle w:val="Quote"/>
        <w:rPr>
          <w:lang w:val="en-GB" w:eastAsia="en-GB"/>
        </w:rPr>
      </w:pPr>
      <w:r>
        <w:rPr>
          <w:lang w:val="en-GB" w:eastAsia="en-GB"/>
        </w:rPr>
        <w:t>Source: D</w:t>
      </w:r>
      <w:r w:rsidRPr="00F353F9">
        <w:rPr>
          <w:lang w:val="en-GB" w:eastAsia="en-GB"/>
        </w:rPr>
        <w:t>eveloped based on evidence collected via focus group sessions carried out by PACEC in September 2016</w:t>
      </w:r>
    </w:p>
    <w:p w14:paraId="419EA166" w14:textId="77777777" w:rsidR="00720CC0" w:rsidRDefault="00720CC0" w:rsidP="00720CC0">
      <w:pPr>
        <w:rPr>
          <w:lang w:val="en-GB" w:eastAsia="en-GB"/>
        </w:rPr>
      </w:pPr>
    </w:p>
    <w:p w14:paraId="7DA2915B" w14:textId="77777777" w:rsidR="00720CC0" w:rsidRDefault="00720CC0" w:rsidP="00720CC0">
      <w:pPr>
        <w:rPr>
          <w:lang w:val="en-GB" w:eastAsia="en-GB"/>
        </w:rPr>
      </w:pPr>
    </w:p>
    <w:p w14:paraId="60AF3EF3" w14:textId="77777777" w:rsidR="00720CC0" w:rsidRDefault="00720CC0" w:rsidP="00720CC0">
      <w:pPr>
        <w:rPr>
          <w:lang w:val="en-GB" w:eastAsia="en-GB"/>
        </w:rPr>
      </w:pPr>
    </w:p>
    <w:p w14:paraId="3E0EE9E3" w14:textId="77777777" w:rsidR="00720CC0" w:rsidRDefault="00720CC0" w:rsidP="00720CC0">
      <w:pPr>
        <w:rPr>
          <w:lang w:val="en-GB" w:eastAsia="en-GB"/>
        </w:rPr>
      </w:pPr>
    </w:p>
    <w:p w14:paraId="5D2F7BBC" w14:textId="77777777" w:rsidR="00720CC0" w:rsidRDefault="00720CC0" w:rsidP="00720CC0">
      <w:pPr>
        <w:rPr>
          <w:lang w:val="en-GB" w:eastAsia="en-GB"/>
        </w:rPr>
      </w:pPr>
    </w:p>
    <w:p w14:paraId="01AAC613" w14:textId="77777777" w:rsidR="00720CC0" w:rsidRDefault="00720CC0" w:rsidP="00720CC0">
      <w:pPr>
        <w:rPr>
          <w:lang w:val="en-GB" w:eastAsia="en-GB"/>
        </w:rPr>
      </w:pPr>
    </w:p>
    <w:p w14:paraId="0F7D742A" w14:textId="77777777" w:rsidR="00720CC0" w:rsidRDefault="00720CC0" w:rsidP="00720CC0">
      <w:pPr>
        <w:rPr>
          <w:lang w:val="en-GB" w:eastAsia="en-GB"/>
        </w:rPr>
      </w:pPr>
    </w:p>
    <w:p w14:paraId="5ADE17A5" w14:textId="77777777" w:rsidR="00720CC0" w:rsidRDefault="00720CC0" w:rsidP="00720CC0">
      <w:pPr>
        <w:rPr>
          <w:lang w:val="en-GB" w:eastAsia="en-GB"/>
        </w:rPr>
      </w:pPr>
    </w:p>
    <w:p w14:paraId="153E021D" w14:textId="77777777" w:rsidR="00720CC0" w:rsidRDefault="00720CC0" w:rsidP="00720CC0">
      <w:pPr>
        <w:rPr>
          <w:lang w:val="en-GB" w:eastAsia="en-GB"/>
        </w:rPr>
      </w:pPr>
    </w:p>
    <w:p w14:paraId="06E3DEF7" w14:textId="77777777" w:rsidR="00720CC0" w:rsidRDefault="00720CC0" w:rsidP="00720CC0">
      <w:pPr>
        <w:rPr>
          <w:lang w:val="en-GB" w:eastAsia="en-GB"/>
        </w:rPr>
      </w:pPr>
    </w:p>
    <w:p w14:paraId="6EED67B2" w14:textId="77777777" w:rsidR="00720CC0" w:rsidRDefault="00720CC0" w:rsidP="00720CC0">
      <w:pPr>
        <w:rPr>
          <w:lang w:val="en-GB" w:eastAsia="en-GB"/>
        </w:rPr>
      </w:pPr>
    </w:p>
    <w:p w14:paraId="09165C5D" w14:textId="77777777" w:rsidR="007A4929" w:rsidRPr="00720CC0" w:rsidRDefault="007A4929" w:rsidP="00AE785D">
      <w:pPr>
        <w:pStyle w:val="BodyText-parastyle"/>
      </w:pPr>
      <w:r w:rsidRPr="00771CC1">
        <w:rPr>
          <w:color w:val="00B0F0"/>
        </w:rPr>
        <w:t xml:space="preserve">Case Study </w:t>
      </w:r>
      <w:r w:rsidR="009645A2" w:rsidRPr="00771CC1">
        <w:rPr>
          <w:color w:val="00B0F0"/>
        </w:rPr>
        <w:t>Five</w:t>
      </w:r>
      <w:r w:rsidRPr="00771CC1">
        <w:rPr>
          <w:color w:val="00B0F0"/>
        </w:rPr>
        <w:t xml:space="preserve"> – </w:t>
      </w:r>
      <w:r w:rsidR="002F7652" w:rsidRPr="00771CC1">
        <w:rPr>
          <w:color w:val="00B0F0"/>
        </w:rPr>
        <w:t>Improved physical health</w:t>
      </w:r>
      <w:r w:rsidRPr="00771CC1">
        <w:rPr>
          <w:color w:val="00B0F0"/>
        </w:rPr>
        <w:t xml:space="preserve"> (Connect Well)</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FFFFFF" w:themeFill="background1"/>
        <w:tblLook w:val="0600" w:firstRow="0" w:lastRow="0" w:firstColumn="0" w:lastColumn="0" w:noHBand="1" w:noVBand="1"/>
      </w:tblPr>
      <w:tblGrid>
        <w:gridCol w:w="9759"/>
      </w:tblGrid>
      <w:tr w:rsidR="007A4929" w14:paraId="423295B7" w14:textId="77777777" w:rsidTr="00047FE7">
        <w:tc>
          <w:tcPr>
            <w:tcW w:w="9759" w:type="dxa"/>
            <w:shd w:val="clear" w:color="auto" w:fill="FFFFFF" w:themeFill="background1"/>
          </w:tcPr>
          <w:p w14:paraId="39E20DEA" w14:textId="77777777" w:rsidR="007A4929" w:rsidRDefault="007A4929" w:rsidP="00AE785D">
            <w:pPr>
              <w:pStyle w:val="BodyText-parastyle"/>
            </w:pPr>
            <w:r>
              <w:t>The client</w:t>
            </w:r>
            <w:r w:rsidRPr="00490A60">
              <w:t xml:space="preserve"> </w:t>
            </w:r>
            <w:r>
              <w:t xml:space="preserve">is a 76 year old male who lives on his own in Maldon District. He has rheumatoid arthritis due to a strong immune system and takes immunosuppressants which is also possibly affecting his thyroid function but does not consider himself to have a disability. </w:t>
            </w:r>
          </w:p>
          <w:p w14:paraId="303C9157" w14:textId="072AA3FA" w:rsidR="007A4929" w:rsidRDefault="007A4929" w:rsidP="00AE785D">
            <w:pPr>
              <w:pStyle w:val="BodyText-parastyle"/>
            </w:pPr>
            <w:r>
              <w:t xml:space="preserve">They were referred to Provide’s Essex Lifestyle Service through the Harbour Project at Maldon using Connect Well the </w:t>
            </w:r>
            <w:r w:rsidR="002F7652">
              <w:t xml:space="preserve">Social Prescribing </w:t>
            </w:r>
            <w:r w:rsidR="00C70808">
              <w:t>website and referrals were</w:t>
            </w:r>
            <w:r>
              <w:t xml:space="preserve"> made for advice on diet and exercise due to concerns over his weight.</w:t>
            </w:r>
          </w:p>
          <w:p w14:paraId="1EA08D73" w14:textId="77777777" w:rsidR="007A4929" w:rsidRDefault="007A4929" w:rsidP="00AE785D">
            <w:pPr>
              <w:pStyle w:val="BodyText-parastyle"/>
            </w:pPr>
            <w:r>
              <w:t>They met with Provide advisors at least twice at St Peter’s Hospital in Maldon where he received advice on eating a balanced diet. The support from Provide also included accessing the Mid Essex Exercise referral scheme where he was also given a letter to take to the local leisure centre for a free trial leisure pass and then a reduced rate of entry, noting that “</w:t>
            </w:r>
            <w:r w:rsidRPr="007A4929">
              <w:rPr>
                <w:i/>
              </w:rPr>
              <w:t>they are the two main things which have helped</w:t>
            </w:r>
            <w:r>
              <w:t>.”</w:t>
            </w:r>
          </w:p>
          <w:p w14:paraId="105F3C43" w14:textId="77777777" w:rsidR="007A4929" w:rsidRDefault="007A4929" w:rsidP="00AE785D">
            <w:pPr>
              <w:pStyle w:val="BodyText-parastyle"/>
            </w:pPr>
            <w:r>
              <w:t>Feedback from the client indicates that their expectations about Provide have been met</w:t>
            </w:r>
            <w:r w:rsidR="002F7652">
              <w:t xml:space="preserve">, noting </w:t>
            </w:r>
            <w:r>
              <w:t>“</w:t>
            </w:r>
            <w:r w:rsidRPr="002F7652">
              <w:t>Yes, it’s helped maintain it (physical health) at a level, so I’ve managed to lose some weight and maintain that</w:t>
            </w:r>
            <w:r>
              <w:t xml:space="preserve">.” </w:t>
            </w:r>
          </w:p>
          <w:p w14:paraId="309794C2" w14:textId="77777777" w:rsidR="007A4929" w:rsidRPr="00A3030A" w:rsidRDefault="007A4929" w:rsidP="00AE785D">
            <w:pPr>
              <w:pStyle w:val="BodyText-parastyle"/>
            </w:pPr>
            <w:r>
              <w:t>The biggest impact Provide has had on his life is to maintain him in his home and allow him to continue to live independently, noting that “</w:t>
            </w:r>
            <w:r w:rsidRPr="007A4929">
              <w:rPr>
                <w:i/>
              </w:rPr>
              <w:t>if I became housebound and more confined then there would be problems</w:t>
            </w:r>
            <w:r>
              <w:t>.”</w:t>
            </w:r>
          </w:p>
        </w:tc>
      </w:tr>
    </w:tbl>
    <w:p w14:paraId="29A67303" w14:textId="77777777" w:rsidR="007A4929" w:rsidRDefault="002F7652" w:rsidP="0038594F">
      <w:pPr>
        <w:pStyle w:val="Quote"/>
        <w:rPr>
          <w:lang w:val="en-GB" w:eastAsia="en-GB"/>
        </w:rPr>
      </w:pPr>
      <w:r>
        <w:rPr>
          <w:lang w:val="en-GB" w:eastAsia="en-GB"/>
        </w:rPr>
        <w:t>Source: Connect Well</w:t>
      </w:r>
    </w:p>
    <w:p w14:paraId="0E0FC555" w14:textId="77777777" w:rsidR="00720CC0" w:rsidRDefault="00720CC0" w:rsidP="00720CC0">
      <w:pPr>
        <w:rPr>
          <w:lang w:val="en-GB" w:eastAsia="en-GB"/>
        </w:rPr>
      </w:pPr>
    </w:p>
    <w:p w14:paraId="0E1211C4" w14:textId="77777777" w:rsidR="00720CC0" w:rsidRDefault="00720CC0" w:rsidP="00720CC0">
      <w:pPr>
        <w:rPr>
          <w:lang w:val="en-GB" w:eastAsia="en-GB"/>
        </w:rPr>
      </w:pPr>
    </w:p>
    <w:p w14:paraId="66405568" w14:textId="77777777" w:rsidR="00720CC0" w:rsidRDefault="00720CC0" w:rsidP="00720CC0">
      <w:pPr>
        <w:rPr>
          <w:lang w:val="en-GB" w:eastAsia="en-GB"/>
        </w:rPr>
      </w:pPr>
    </w:p>
    <w:p w14:paraId="4D196261" w14:textId="77777777" w:rsidR="00720CC0" w:rsidRDefault="00720CC0" w:rsidP="00720CC0">
      <w:pPr>
        <w:rPr>
          <w:lang w:val="en-GB" w:eastAsia="en-GB"/>
        </w:rPr>
      </w:pPr>
    </w:p>
    <w:p w14:paraId="61DFF6C8" w14:textId="77777777" w:rsidR="00720CC0" w:rsidRDefault="00720CC0" w:rsidP="00720CC0">
      <w:pPr>
        <w:rPr>
          <w:lang w:val="en-GB" w:eastAsia="en-GB"/>
        </w:rPr>
      </w:pPr>
    </w:p>
    <w:p w14:paraId="680B44CC" w14:textId="77777777" w:rsidR="00720CC0" w:rsidRDefault="00720CC0" w:rsidP="00720CC0">
      <w:pPr>
        <w:rPr>
          <w:lang w:val="en-GB" w:eastAsia="en-GB"/>
        </w:rPr>
      </w:pPr>
    </w:p>
    <w:p w14:paraId="135B46C4" w14:textId="77777777" w:rsidR="00720CC0" w:rsidRDefault="00720CC0" w:rsidP="00720CC0">
      <w:pPr>
        <w:rPr>
          <w:lang w:val="en-GB" w:eastAsia="en-GB"/>
        </w:rPr>
      </w:pPr>
    </w:p>
    <w:p w14:paraId="2FB67BF6" w14:textId="77777777" w:rsidR="00720CC0" w:rsidRDefault="00720CC0" w:rsidP="00720CC0">
      <w:pPr>
        <w:rPr>
          <w:lang w:val="en-GB" w:eastAsia="en-GB"/>
        </w:rPr>
      </w:pPr>
    </w:p>
    <w:p w14:paraId="06BE4D09" w14:textId="77777777" w:rsidR="00720CC0" w:rsidRDefault="00720CC0" w:rsidP="00720CC0">
      <w:pPr>
        <w:rPr>
          <w:lang w:val="en-GB" w:eastAsia="en-GB"/>
        </w:rPr>
      </w:pPr>
    </w:p>
    <w:p w14:paraId="4D9DFC61" w14:textId="77777777" w:rsidR="00720CC0" w:rsidRDefault="00720CC0" w:rsidP="00720CC0">
      <w:pPr>
        <w:rPr>
          <w:lang w:val="en-GB" w:eastAsia="en-GB"/>
        </w:rPr>
      </w:pPr>
    </w:p>
    <w:p w14:paraId="40E7F239" w14:textId="6871FCB8" w:rsidR="00720CC0" w:rsidRDefault="00720CC0" w:rsidP="00720CC0">
      <w:pPr>
        <w:rPr>
          <w:lang w:val="en-GB" w:eastAsia="en-GB"/>
        </w:rPr>
      </w:pPr>
    </w:p>
    <w:p w14:paraId="77F911A1" w14:textId="77777777" w:rsidR="00C70808" w:rsidRDefault="00C70808" w:rsidP="00720CC0">
      <w:pPr>
        <w:rPr>
          <w:lang w:val="en-GB" w:eastAsia="en-GB"/>
        </w:rPr>
      </w:pPr>
    </w:p>
    <w:p w14:paraId="1D445E82" w14:textId="77777777" w:rsidR="00720CC0" w:rsidRPr="00720CC0" w:rsidRDefault="00720CC0" w:rsidP="00720CC0">
      <w:pPr>
        <w:rPr>
          <w:lang w:val="en-GB" w:eastAsia="en-GB"/>
        </w:rPr>
      </w:pPr>
    </w:p>
    <w:p w14:paraId="7196F249" w14:textId="77777777" w:rsidR="002F7652" w:rsidRPr="00720CC0" w:rsidRDefault="002F7652" w:rsidP="00AE785D">
      <w:pPr>
        <w:pStyle w:val="BodyText-parastyle"/>
      </w:pPr>
      <w:r w:rsidRPr="00771CC1">
        <w:rPr>
          <w:color w:val="00B0F0"/>
        </w:rPr>
        <w:t>C</w:t>
      </w:r>
      <w:r w:rsidR="0038594F" w:rsidRPr="00771CC1">
        <w:rPr>
          <w:color w:val="00B0F0"/>
        </w:rPr>
        <w:t>ase Study S</w:t>
      </w:r>
      <w:r w:rsidR="009645A2" w:rsidRPr="00771CC1">
        <w:rPr>
          <w:color w:val="00B0F0"/>
        </w:rPr>
        <w:t>ix</w:t>
      </w:r>
      <w:r w:rsidRPr="00771CC1">
        <w:rPr>
          <w:color w:val="00B0F0"/>
        </w:rPr>
        <w:t xml:space="preserve"> – </w:t>
      </w:r>
      <w:r w:rsidR="0038594F" w:rsidRPr="00771CC1">
        <w:rPr>
          <w:color w:val="00B0F0"/>
        </w:rPr>
        <w:t>Multiple Needs</w:t>
      </w:r>
      <w:r w:rsidRPr="00771CC1">
        <w:rPr>
          <w:color w:val="00B0F0"/>
        </w:rPr>
        <w:t xml:space="preserve"> (Basildon and Brentwood)</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FFFFFF" w:themeFill="background1"/>
        <w:tblLook w:val="0600" w:firstRow="0" w:lastRow="0" w:firstColumn="0" w:lastColumn="0" w:noHBand="1" w:noVBand="1"/>
      </w:tblPr>
      <w:tblGrid>
        <w:gridCol w:w="9759"/>
      </w:tblGrid>
      <w:tr w:rsidR="002F7652" w14:paraId="4ABB97C4" w14:textId="77777777" w:rsidTr="00047FE7">
        <w:tc>
          <w:tcPr>
            <w:tcW w:w="9759" w:type="dxa"/>
            <w:shd w:val="clear" w:color="auto" w:fill="FFFFFF" w:themeFill="background1"/>
          </w:tcPr>
          <w:p w14:paraId="46D9BD33" w14:textId="77777777" w:rsidR="00C048A4" w:rsidRDefault="00C048A4" w:rsidP="00AE785D">
            <w:pPr>
              <w:pStyle w:val="BodyText-parastyle"/>
            </w:pPr>
            <w:r>
              <w:t>The client had a number of issues on referral to the Basildon and Brentwood Social Prescribing service, specifically:</w:t>
            </w:r>
          </w:p>
          <w:p w14:paraId="2A3C2FE9" w14:textId="77777777" w:rsidR="00C048A4" w:rsidRDefault="009645A2" w:rsidP="00D53262">
            <w:pPr>
              <w:pStyle w:val="ListParagraph"/>
            </w:pPr>
            <w:r>
              <w:t>Employment and Support Allowance (</w:t>
            </w:r>
            <w:r w:rsidR="00C048A4">
              <w:t>ESA</w:t>
            </w:r>
            <w:r>
              <w:t>)</w:t>
            </w:r>
            <w:r w:rsidR="00C048A4">
              <w:t xml:space="preserve"> being stopped</w:t>
            </w:r>
            <w:r>
              <w:t>;</w:t>
            </w:r>
          </w:p>
          <w:p w14:paraId="6206C413" w14:textId="77777777" w:rsidR="00C048A4" w:rsidRDefault="00C048A4" w:rsidP="00D53262">
            <w:pPr>
              <w:pStyle w:val="ListParagraph"/>
            </w:pPr>
            <w:r>
              <w:t>Numerous anti-depressant prescribed</w:t>
            </w:r>
            <w:r w:rsidR="009645A2">
              <w:t>;</w:t>
            </w:r>
          </w:p>
          <w:p w14:paraId="389D0337" w14:textId="77777777" w:rsidR="00C048A4" w:rsidRDefault="0038594F" w:rsidP="00D53262">
            <w:pPr>
              <w:pStyle w:val="ListParagraph"/>
            </w:pPr>
            <w:r>
              <w:t>A</w:t>
            </w:r>
            <w:r w:rsidR="00C048A4">
              <w:t>waiting Mental Health Assessment</w:t>
            </w:r>
            <w:r w:rsidR="009645A2">
              <w:t>;</w:t>
            </w:r>
          </w:p>
          <w:p w14:paraId="7A91278C" w14:textId="77777777" w:rsidR="00C048A4" w:rsidRDefault="00C048A4" w:rsidP="00D53262">
            <w:pPr>
              <w:pStyle w:val="ListParagraph"/>
            </w:pPr>
            <w:r>
              <w:t xml:space="preserve">Lost contact with </w:t>
            </w:r>
            <w:r w:rsidR="009645A2">
              <w:t>family after father’s death recently;</w:t>
            </w:r>
          </w:p>
          <w:p w14:paraId="2DA72C82" w14:textId="77777777" w:rsidR="00C048A4" w:rsidRDefault="00C048A4" w:rsidP="00D53262">
            <w:pPr>
              <w:pStyle w:val="ListParagraph"/>
            </w:pPr>
            <w:r>
              <w:t>Evidence of historical physical and mental abuse</w:t>
            </w:r>
            <w:r w:rsidR="009645A2">
              <w:t>;</w:t>
            </w:r>
          </w:p>
          <w:p w14:paraId="01633A71" w14:textId="77777777" w:rsidR="00C048A4" w:rsidRDefault="00C048A4" w:rsidP="00D53262">
            <w:pPr>
              <w:pStyle w:val="ListParagraph"/>
            </w:pPr>
            <w:r>
              <w:t>Suffers from insomnia</w:t>
            </w:r>
            <w:r w:rsidR="009645A2">
              <w:t>;</w:t>
            </w:r>
          </w:p>
          <w:p w14:paraId="56C5B1E7" w14:textId="77777777" w:rsidR="00C048A4" w:rsidRDefault="00C048A4" w:rsidP="00D53262">
            <w:pPr>
              <w:pStyle w:val="ListParagraph"/>
            </w:pPr>
            <w:r>
              <w:t>Self-medicates with alcohol</w:t>
            </w:r>
            <w:r w:rsidR="009645A2">
              <w:t>; and</w:t>
            </w:r>
          </w:p>
          <w:p w14:paraId="7946D53D" w14:textId="77777777" w:rsidR="00C048A4" w:rsidRPr="00A3030A" w:rsidRDefault="00C048A4" w:rsidP="00D53262">
            <w:pPr>
              <w:pStyle w:val="ListParagraph"/>
            </w:pPr>
            <w:r>
              <w:t>Debt from unpaid utility bill</w:t>
            </w:r>
            <w:r w:rsidR="009645A2">
              <w:t>.</w:t>
            </w:r>
          </w:p>
          <w:p w14:paraId="2D6F872A" w14:textId="77777777" w:rsidR="002F7652" w:rsidRDefault="0038594F" w:rsidP="00AE785D">
            <w:pPr>
              <w:pStyle w:val="BodyText-parastyle"/>
            </w:pPr>
            <w:r>
              <w:t>Actions taken following a meeting with the Social Prescribing Navigator include:</w:t>
            </w:r>
          </w:p>
          <w:p w14:paraId="2AA10F6E" w14:textId="77777777" w:rsidR="0038594F" w:rsidRDefault="0038594F" w:rsidP="00D53262">
            <w:pPr>
              <w:pStyle w:val="ListParagraph"/>
            </w:pPr>
            <w:r>
              <w:t>Offered to accompany client at next Job Centre visit</w:t>
            </w:r>
            <w:r w:rsidR="009645A2">
              <w:t>;</w:t>
            </w:r>
          </w:p>
          <w:p w14:paraId="7FD9B923" w14:textId="77777777" w:rsidR="0038594F" w:rsidRDefault="0038594F" w:rsidP="00D53262">
            <w:pPr>
              <w:pStyle w:val="ListParagraph"/>
            </w:pPr>
            <w:r>
              <w:t xml:space="preserve">Offered </w:t>
            </w:r>
            <w:r w:rsidR="009645A2">
              <w:t>bereavement counselling;</w:t>
            </w:r>
          </w:p>
          <w:p w14:paraId="5EA06D2C" w14:textId="77777777" w:rsidR="0038594F" w:rsidRDefault="0038594F" w:rsidP="00D53262">
            <w:pPr>
              <w:pStyle w:val="ListParagraph"/>
            </w:pPr>
            <w:r>
              <w:t>Offered entry-level exercise: Fitness in Mind Programme/Local Community Walk</w:t>
            </w:r>
            <w:r w:rsidR="009645A2">
              <w:t>;</w:t>
            </w:r>
          </w:p>
          <w:p w14:paraId="4B891BC2" w14:textId="77777777" w:rsidR="0038594F" w:rsidRDefault="0038594F" w:rsidP="00D53262">
            <w:pPr>
              <w:pStyle w:val="ListParagraph"/>
            </w:pPr>
            <w:r>
              <w:t>Offered sign-posting to Synergy for support with alcohol</w:t>
            </w:r>
            <w:r w:rsidR="009645A2">
              <w:t>; and</w:t>
            </w:r>
          </w:p>
          <w:p w14:paraId="65FAB518" w14:textId="77777777" w:rsidR="0038594F" w:rsidRDefault="0038594F" w:rsidP="00D53262">
            <w:pPr>
              <w:pStyle w:val="ListParagraph"/>
            </w:pPr>
            <w:r>
              <w:t xml:space="preserve">Referred to charitable </w:t>
            </w:r>
            <w:r w:rsidR="009645A2">
              <w:t xml:space="preserve">debt counselling service </w:t>
            </w:r>
            <w:r>
              <w:t>to address outstanding debt</w:t>
            </w:r>
            <w:r w:rsidR="009645A2">
              <w:t>.</w:t>
            </w:r>
          </w:p>
          <w:p w14:paraId="5E024ED5" w14:textId="77777777" w:rsidR="0038594F" w:rsidRDefault="0038594F" w:rsidP="00AE785D">
            <w:pPr>
              <w:pStyle w:val="BodyText-parastyle"/>
            </w:pPr>
            <w:r>
              <w:t>As a result of the support provided a number of outcomes have been achieved including</w:t>
            </w:r>
            <w:r w:rsidR="009645A2">
              <w:t>:</w:t>
            </w:r>
            <w:r>
              <w:t xml:space="preserve"> </w:t>
            </w:r>
          </w:p>
          <w:p w14:paraId="1997178D" w14:textId="77777777" w:rsidR="0038594F" w:rsidRDefault="0038594F" w:rsidP="00D53262">
            <w:pPr>
              <w:pStyle w:val="ListParagraph"/>
            </w:pPr>
            <w:r>
              <w:t xml:space="preserve">Medication reviewed by </w:t>
            </w:r>
            <w:r w:rsidR="00365232">
              <w:t>h</w:t>
            </w:r>
            <w:r>
              <w:t>ospital and sleeping slightly improved</w:t>
            </w:r>
            <w:r w:rsidR="009645A2">
              <w:t>;</w:t>
            </w:r>
          </w:p>
          <w:p w14:paraId="546F2B5A" w14:textId="77777777" w:rsidR="0038594F" w:rsidRDefault="0038594F" w:rsidP="00D53262">
            <w:pPr>
              <w:pStyle w:val="ListParagraph"/>
            </w:pPr>
            <w:r>
              <w:t>Attending weekly counselling sessions</w:t>
            </w:r>
            <w:r w:rsidR="00365232">
              <w:t>;</w:t>
            </w:r>
            <w:r>
              <w:t xml:space="preserve"> </w:t>
            </w:r>
          </w:p>
          <w:p w14:paraId="47DEFF33" w14:textId="77777777" w:rsidR="0038594F" w:rsidRDefault="0038594F" w:rsidP="00D53262">
            <w:pPr>
              <w:pStyle w:val="ListParagraph"/>
            </w:pPr>
            <w:r>
              <w:t xml:space="preserve">Additional support gained from </w:t>
            </w:r>
            <w:r w:rsidR="00365232">
              <w:t>job centre staff;</w:t>
            </w:r>
          </w:p>
          <w:p w14:paraId="50F129C2" w14:textId="77777777" w:rsidR="0038594F" w:rsidRDefault="0038594F" w:rsidP="00D53262">
            <w:pPr>
              <w:pStyle w:val="ListParagraph"/>
            </w:pPr>
            <w:r>
              <w:t>Attended introduction to Yoga in Brentwood</w:t>
            </w:r>
            <w:r w:rsidR="00365232">
              <w:t>;</w:t>
            </w:r>
          </w:p>
          <w:p w14:paraId="4EDBD656" w14:textId="77777777" w:rsidR="0038594F" w:rsidRDefault="0038594F" w:rsidP="00D53262">
            <w:pPr>
              <w:pStyle w:val="ListParagraph"/>
            </w:pPr>
            <w:r>
              <w:t>Attending drop-in befriending service locally, and now involved in helping out in the tea-bar weekly at the group</w:t>
            </w:r>
            <w:r w:rsidR="00365232">
              <w:t xml:space="preserve">; and </w:t>
            </w:r>
          </w:p>
          <w:p w14:paraId="62BA796E" w14:textId="77777777" w:rsidR="00365232" w:rsidRDefault="0038594F" w:rsidP="00D53262">
            <w:pPr>
              <w:pStyle w:val="ListParagraph"/>
            </w:pPr>
            <w:r>
              <w:t>Considering attending alcohol support group</w:t>
            </w:r>
            <w:r w:rsidR="00365232">
              <w:t>.</w:t>
            </w:r>
          </w:p>
          <w:p w14:paraId="26D16926" w14:textId="77777777" w:rsidR="00365232" w:rsidRPr="00365232" w:rsidRDefault="00365232" w:rsidP="00365232">
            <w:pPr>
              <w:pStyle w:val="BodyText-italics"/>
              <w:rPr>
                <w:lang w:val="en-GB"/>
              </w:rPr>
            </w:pPr>
            <w:r>
              <w:t xml:space="preserve">Qualitative feedback from the client included that their </w:t>
            </w:r>
            <w:r w:rsidRPr="00365232">
              <w:t xml:space="preserve">feeling of self-worth has increased as they </w:t>
            </w:r>
            <w:r>
              <w:t>felt</w:t>
            </w:r>
            <w:r w:rsidRPr="00365232">
              <w:t xml:space="preserve"> useful and helpful.</w:t>
            </w:r>
          </w:p>
        </w:tc>
      </w:tr>
    </w:tbl>
    <w:p w14:paraId="19BA268D" w14:textId="77777777" w:rsidR="002F7652" w:rsidRDefault="002F7652" w:rsidP="002F7652">
      <w:pPr>
        <w:pStyle w:val="Quote"/>
        <w:rPr>
          <w:lang w:val="en-GB" w:eastAsia="en-GB"/>
        </w:rPr>
      </w:pPr>
      <w:r>
        <w:rPr>
          <w:lang w:val="en-GB" w:eastAsia="en-GB"/>
        </w:rPr>
        <w:t>Source: BBWCVS</w:t>
      </w:r>
    </w:p>
    <w:p w14:paraId="1565BBBA" w14:textId="77777777" w:rsidR="00D315F9" w:rsidRDefault="00D315F9" w:rsidP="00D315F9">
      <w:pPr>
        <w:pStyle w:val="Heading2"/>
      </w:pPr>
      <w:bookmarkStart w:id="51" w:name="_Toc497934281"/>
      <w:r>
        <w:t>Conclusion</w:t>
      </w:r>
      <w:bookmarkEnd w:id="51"/>
      <w:r>
        <w:t xml:space="preserve"> </w:t>
      </w:r>
    </w:p>
    <w:p w14:paraId="7ADF9380" w14:textId="77777777" w:rsidR="007E5C13" w:rsidRDefault="00920FFC" w:rsidP="00AE785D">
      <w:pPr>
        <w:pStyle w:val="BodyText-parastyle"/>
      </w:pPr>
      <w:r>
        <w:t xml:space="preserve">The Social Prescribing projects have adapted a number of approaches to generate referrals and those projects that have utilised a number of </w:t>
      </w:r>
      <w:r w:rsidRPr="00920FFC">
        <w:t>outreach locations</w:t>
      </w:r>
      <w:r>
        <w:t>,</w:t>
      </w:r>
      <w:r w:rsidRPr="00920FFC">
        <w:t xml:space="preserve"> pro-actively develop</w:t>
      </w:r>
      <w:r>
        <w:t xml:space="preserve">ed </w:t>
      </w:r>
      <w:r w:rsidRPr="00920FFC">
        <w:t>partnerships with other voluntary organisations and referral agencies</w:t>
      </w:r>
      <w:r>
        <w:t xml:space="preserve"> and have had a number of accessible routes for referrals have exceeded their referral targets. </w:t>
      </w:r>
      <w:r w:rsidR="007E5C13">
        <w:t>In total</w:t>
      </w:r>
      <w:r>
        <w:t xml:space="preserve"> </w:t>
      </w:r>
      <w:r w:rsidR="007E5C13">
        <w:t>4,951 ‘referrals in’ were received across five Social Prescribing projects (</w:t>
      </w:r>
      <w:r w:rsidR="007E5C13" w:rsidRPr="00242A80">
        <w:t>Basildon and Brentwood; Castle Point and Rochford; Mid Essex; North Ea</w:t>
      </w:r>
      <w:r w:rsidR="007E5C13">
        <w:t xml:space="preserve">st Essex My Social Prescription; and Southend), exceeding their combined target of </w:t>
      </w:r>
      <w:r w:rsidR="007E5C13" w:rsidRPr="007E5C13">
        <w:t>3,391</w:t>
      </w:r>
      <w:r w:rsidR="007E5C13">
        <w:t xml:space="preserve"> by </w:t>
      </w:r>
      <w:r w:rsidR="007E5C13" w:rsidRPr="007E5C13">
        <w:t>1</w:t>
      </w:r>
      <w:r w:rsidR="007E5C13">
        <w:t>,</w:t>
      </w:r>
      <w:r w:rsidR="007E5C13" w:rsidRPr="007E5C13">
        <w:t>560</w:t>
      </w:r>
      <w:r w:rsidR="007E5C13">
        <w:t>.</w:t>
      </w:r>
    </w:p>
    <w:p w14:paraId="6E2A99E5" w14:textId="77777777" w:rsidR="00920FFC" w:rsidRPr="00CD3EFC" w:rsidRDefault="00920FFC" w:rsidP="00AE785D">
      <w:pPr>
        <w:pStyle w:val="BodyText-parastyle"/>
      </w:pPr>
      <w:r>
        <w:t xml:space="preserve">Based on self-reported data provided by 136 service users via the RSM PACEC </w:t>
      </w:r>
      <w:r w:rsidRPr="00CD3EFC">
        <w:t xml:space="preserve">survey, the </w:t>
      </w:r>
      <w:r>
        <w:t>Social Prescribing</w:t>
      </w:r>
      <w:r w:rsidRPr="00CD3EFC">
        <w:t xml:space="preserve"> project</w:t>
      </w:r>
      <w:r>
        <w:t>s</w:t>
      </w:r>
      <w:r w:rsidRPr="00CD3EFC">
        <w:t xml:space="preserve"> </w:t>
      </w:r>
      <w:r>
        <w:t>have had an</w:t>
      </w:r>
      <w:r w:rsidRPr="00CD3EFC">
        <w:t xml:space="preserve"> impact on use of primary, secondary and social care services and resulted in improved personal / mental wellbeing and general health. Specifically:</w:t>
      </w:r>
    </w:p>
    <w:p w14:paraId="735EE4E4" w14:textId="77777777" w:rsidR="00920FFC" w:rsidRPr="00CD3EFC" w:rsidRDefault="00920FFC" w:rsidP="00D53262">
      <w:pPr>
        <w:pStyle w:val="ListParagraph"/>
      </w:pPr>
      <w:r w:rsidRPr="00CD3EFC">
        <w:rPr>
          <w:color w:val="00B0F0"/>
        </w:rPr>
        <w:t xml:space="preserve">Reduced use of primary care </w:t>
      </w:r>
      <w:r>
        <w:t xml:space="preserve">– 59% </w:t>
      </w:r>
      <w:r w:rsidR="004B195B">
        <w:t>(n=74</w:t>
      </w:r>
      <w:r w:rsidR="004B195B" w:rsidRPr="00CD3EFC">
        <w:t xml:space="preserve">) </w:t>
      </w:r>
      <w:r>
        <w:t xml:space="preserve">of survey respondents </w:t>
      </w:r>
      <w:r w:rsidR="004B195B">
        <w:t xml:space="preserve">(n=125) </w:t>
      </w:r>
      <w:r w:rsidRPr="00CD3EFC">
        <w:t>reported reduced number of hours spent w</w:t>
      </w:r>
      <w:r>
        <w:t xml:space="preserve">ith their GP and 34% </w:t>
      </w:r>
      <w:r w:rsidR="004B195B">
        <w:t>(n=46</w:t>
      </w:r>
      <w:r w:rsidR="004B195B" w:rsidRPr="00CD3EFC">
        <w:t xml:space="preserve">) </w:t>
      </w:r>
      <w:r>
        <w:t xml:space="preserve">of survey respondents </w:t>
      </w:r>
      <w:r w:rsidRPr="00CD3EFC">
        <w:t>reported reduced n</w:t>
      </w:r>
      <w:r>
        <w:t xml:space="preserve">umber of prescriptions received </w:t>
      </w:r>
    </w:p>
    <w:p w14:paraId="1A800507" w14:textId="77777777" w:rsidR="00920FFC" w:rsidRPr="00CD3EFC" w:rsidRDefault="00920FFC" w:rsidP="00D53262">
      <w:pPr>
        <w:pStyle w:val="ListParagraph"/>
      </w:pPr>
      <w:r w:rsidRPr="00CD3EFC">
        <w:rPr>
          <w:color w:val="00B0F0"/>
        </w:rPr>
        <w:t xml:space="preserve">Reduced use of secondary care </w:t>
      </w:r>
      <w:r w:rsidRPr="00CD3EFC">
        <w:t>–</w:t>
      </w:r>
      <w:r w:rsidR="004B195B">
        <w:t xml:space="preserve"> 31% (n=42</w:t>
      </w:r>
      <w:r w:rsidR="004B195B" w:rsidRPr="00CD3EFC">
        <w:t xml:space="preserve">) </w:t>
      </w:r>
      <w:r w:rsidR="004B195B">
        <w:t xml:space="preserve">of survey respondents </w:t>
      </w:r>
      <w:r w:rsidRPr="00CD3EFC">
        <w:t>reported</w:t>
      </w:r>
      <w:r w:rsidR="004B195B">
        <w:t xml:space="preserve"> a reduction in the number of outpatient appointments they attended and 13</w:t>
      </w:r>
      <w:r w:rsidR="004B195B" w:rsidRPr="004B195B">
        <w:t>%</w:t>
      </w:r>
      <w:r w:rsidR="004B195B">
        <w:t xml:space="preserve"> (n=17)</w:t>
      </w:r>
      <w:r w:rsidR="004B195B" w:rsidRPr="004B195B">
        <w:t xml:space="preserve"> of survey respondents reported</w:t>
      </w:r>
      <w:r w:rsidR="004B195B">
        <w:t xml:space="preserve"> reduced attendance at A+E</w:t>
      </w:r>
    </w:p>
    <w:p w14:paraId="3C4D9D4F" w14:textId="77777777" w:rsidR="00920FFC" w:rsidRPr="00CD3EFC" w:rsidRDefault="00920FFC" w:rsidP="00D53262">
      <w:pPr>
        <w:pStyle w:val="ListParagraph"/>
      </w:pPr>
      <w:r w:rsidRPr="00CD3EFC">
        <w:rPr>
          <w:color w:val="00B0F0"/>
        </w:rPr>
        <w:t xml:space="preserve">Reduced use of social care </w:t>
      </w:r>
      <w:r w:rsidR="004B195B">
        <w:t>- 25</w:t>
      </w:r>
      <w:r w:rsidRPr="00CD3EFC">
        <w:t xml:space="preserve">% </w:t>
      </w:r>
      <w:r w:rsidR="004B195B">
        <w:t xml:space="preserve">(n=33) </w:t>
      </w:r>
      <w:r w:rsidRPr="00CD3EFC">
        <w:t>of</w:t>
      </w:r>
      <w:r w:rsidR="004B195B">
        <w:t xml:space="preserve"> survey respondents </w:t>
      </w:r>
      <w:r w:rsidRPr="00CD3EFC">
        <w:t>reported reduced hours of support from a social worker</w:t>
      </w:r>
    </w:p>
    <w:p w14:paraId="0898A948" w14:textId="77777777" w:rsidR="004B195B" w:rsidRDefault="00920FFC" w:rsidP="00D53262">
      <w:pPr>
        <w:pStyle w:val="ListParagraph"/>
      </w:pPr>
      <w:r w:rsidRPr="004B195B">
        <w:rPr>
          <w:color w:val="00B0F0"/>
        </w:rPr>
        <w:t xml:space="preserve">Personal wellbeing </w:t>
      </w:r>
      <w:r w:rsidRPr="00CD3EFC">
        <w:t xml:space="preserve">– </w:t>
      </w:r>
      <w:r w:rsidR="004B195B" w:rsidRPr="004B195B">
        <w:t>at least 47% of respondents experienced a positive change on each of the outcome measures and the average ratings across all respon</w:t>
      </w:r>
      <w:r w:rsidR="004B195B">
        <w:t>dents improved for each measure</w:t>
      </w:r>
      <w:r w:rsidR="004B195B" w:rsidRPr="004B195B">
        <w:t xml:space="preserve">  </w:t>
      </w:r>
    </w:p>
    <w:p w14:paraId="63A2F0DE" w14:textId="77777777" w:rsidR="00920FFC" w:rsidRPr="00CD3EFC" w:rsidRDefault="00920FFC" w:rsidP="00D53262">
      <w:pPr>
        <w:pStyle w:val="ListParagraph"/>
      </w:pPr>
      <w:r w:rsidRPr="004B195B">
        <w:rPr>
          <w:color w:val="00B0F0"/>
        </w:rPr>
        <w:t xml:space="preserve">General health </w:t>
      </w:r>
      <w:r w:rsidRPr="00CD3EFC">
        <w:t>– greatest improvement was in relation to feelings of pain / discomfort (</w:t>
      </w:r>
      <w:r w:rsidR="004B195B">
        <w:t>15% (n=20</w:t>
      </w:r>
      <w:r w:rsidRPr="00CD3EFC">
        <w:t>) increase in survey respondents reporting no pain or discomfort at follow-up)</w:t>
      </w:r>
      <w:r w:rsidR="004B195B">
        <w:t xml:space="preserve"> and feelings of anxiety / depression </w:t>
      </w:r>
      <w:r w:rsidR="004B195B" w:rsidRPr="00CD3EFC">
        <w:t>(</w:t>
      </w:r>
      <w:r w:rsidR="004B195B">
        <w:t>15% (n=20</w:t>
      </w:r>
      <w:r w:rsidR="004B195B" w:rsidRPr="00CD3EFC">
        <w:t xml:space="preserve">) </w:t>
      </w:r>
      <w:r w:rsidR="004B195B" w:rsidRPr="004B195B">
        <w:t>increase in respondents stating they were not anxious or depressed</w:t>
      </w:r>
      <w:r w:rsidR="004B195B">
        <w:t xml:space="preserve"> at follow-up)</w:t>
      </w:r>
    </w:p>
    <w:p w14:paraId="7CFF59F3" w14:textId="77777777" w:rsidR="00920FFC" w:rsidRPr="00CD3EFC" w:rsidRDefault="00920FFC" w:rsidP="00D53262">
      <w:pPr>
        <w:pStyle w:val="ListParagraph"/>
      </w:pPr>
      <w:r w:rsidRPr="00CD3EFC">
        <w:rPr>
          <w:color w:val="00B0F0"/>
        </w:rPr>
        <w:t xml:space="preserve">Mental health </w:t>
      </w:r>
      <w:r w:rsidRPr="00CD3EFC">
        <w:t xml:space="preserve">– greatest improvements were in relation to feeling </w:t>
      </w:r>
      <w:r w:rsidR="004B195B">
        <w:t>optimistic about the future; feeling useful and feeling close to other people (21%</w:t>
      </w:r>
      <w:r w:rsidRPr="00CD3EFC">
        <w:t xml:space="preserve"> increase in survey respondents reporting they felt this way often </w:t>
      </w:r>
      <w:r w:rsidR="004B195B">
        <w:t xml:space="preserve">or all of the time </w:t>
      </w:r>
      <w:r w:rsidRPr="00CD3EFC">
        <w:t>at follow-up)</w:t>
      </w:r>
    </w:p>
    <w:p w14:paraId="6B2AAF4B" w14:textId="3B14EB48" w:rsidR="00920FFC" w:rsidRPr="004B0503" w:rsidRDefault="004B195B" w:rsidP="00AE785D">
      <w:pPr>
        <w:pStyle w:val="BodyText-parastyle"/>
      </w:pPr>
      <w:r>
        <w:t>In addition,</w:t>
      </w:r>
      <w:r w:rsidR="00920FFC">
        <w:t xml:space="preserve"> qualitative data and feedback from stakeholders suggests the project has had a positive impact on quality of life</w:t>
      </w:r>
      <w:r>
        <w:t xml:space="preserve"> and in addressing specific / individual needs of those referred to the Social Prescribing projects.</w:t>
      </w:r>
      <w:r w:rsidR="007E5C13">
        <w:t xml:space="preserve"> </w:t>
      </w:r>
      <w:r w:rsidR="00920FFC">
        <w:t xml:space="preserve">However </w:t>
      </w:r>
      <w:r>
        <w:t xml:space="preserve">it is recognised that some projects are </w:t>
      </w:r>
      <w:r w:rsidR="00920FFC">
        <w:t xml:space="preserve">supporting those with multiple, complex needs and / or </w:t>
      </w:r>
      <w:r w:rsidR="00C70808">
        <w:t>long-term</w:t>
      </w:r>
      <w:r w:rsidR="00920FFC">
        <w:t xml:space="preserve"> conditions and therefore changes to health care usage within a short time period may not be possible</w:t>
      </w:r>
      <w:r>
        <w:t>.</w:t>
      </w:r>
    </w:p>
    <w:p w14:paraId="5F93BF5D" w14:textId="73E360E6" w:rsidR="00D315F9" w:rsidRDefault="00D315F9" w:rsidP="00D315F9">
      <w:pPr>
        <w:pStyle w:val="Heading1"/>
      </w:pPr>
      <w:bookmarkStart w:id="52" w:name="_Toc497934282"/>
      <w:r>
        <w:t>Stakeholder Feedback</w:t>
      </w:r>
      <w:bookmarkEnd w:id="52"/>
    </w:p>
    <w:p w14:paraId="42213B03" w14:textId="77777777" w:rsidR="00D315F9" w:rsidRDefault="00D315F9" w:rsidP="00D315F9">
      <w:pPr>
        <w:pStyle w:val="Heading2"/>
      </w:pPr>
      <w:bookmarkStart w:id="53" w:name="_Toc497934283"/>
      <w:r>
        <w:t>Introduction</w:t>
      </w:r>
      <w:bookmarkEnd w:id="53"/>
    </w:p>
    <w:p w14:paraId="0FE1AEF8" w14:textId="77777777" w:rsidR="00D315F9" w:rsidRDefault="002F7AA6" w:rsidP="00AE785D">
      <w:pPr>
        <w:pStyle w:val="BodyText-parastyle"/>
      </w:pPr>
      <w:r>
        <w:t xml:space="preserve">This section details feedback from key stakeholders in relation what worked well / areas for development, the impacts of the projects and shared learning. </w:t>
      </w:r>
    </w:p>
    <w:p w14:paraId="60022181" w14:textId="265D7100" w:rsidR="00D315F9" w:rsidRDefault="00D315F9" w:rsidP="00D315F9">
      <w:pPr>
        <w:pStyle w:val="Heading2"/>
      </w:pPr>
      <w:bookmarkStart w:id="54" w:name="_Toc497934284"/>
      <w:r>
        <w:t>Worked Well</w:t>
      </w:r>
      <w:bookmarkEnd w:id="54"/>
    </w:p>
    <w:p w14:paraId="4CCC41A8" w14:textId="77777777" w:rsidR="00D315F9" w:rsidRDefault="002F7AA6" w:rsidP="00AE785D">
      <w:pPr>
        <w:pStyle w:val="BodyText-parastyle"/>
      </w:pPr>
      <w:r>
        <w:t>Organisations / individuals</w:t>
      </w:r>
      <w:r w:rsidRPr="002F7AA6">
        <w:t xml:space="preserve"> that made referrals to the project as well as representatives from organisations that received referrals from </w:t>
      </w:r>
      <w:r>
        <w:t>the projects</w:t>
      </w:r>
      <w:r w:rsidRPr="002F7AA6">
        <w:t xml:space="preserve"> stated that they were satisfied with the service being provided and the elements noted as working well by consultees and the </w:t>
      </w:r>
      <w:r>
        <w:t>project staff</w:t>
      </w:r>
      <w:r w:rsidRPr="002F7AA6">
        <w:t xml:space="preserve"> were:</w:t>
      </w:r>
    </w:p>
    <w:p w14:paraId="52FFA42B" w14:textId="77777777" w:rsidR="00BA399E" w:rsidRDefault="002F7AA6" w:rsidP="00D53262">
      <w:pPr>
        <w:pStyle w:val="ListParagraph"/>
      </w:pPr>
      <w:r w:rsidRPr="000061CC">
        <w:rPr>
          <w:color w:val="00B0F0"/>
        </w:rPr>
        <w:t xml:space="preserve">Referral process </w:t>
      </w:r>
      <w:r>
        <w:t xml:space="preserve">– this was </w:t>
      </w:r>
      <w:r w:rsidR="002E0C6A">
        <w:t>highlighted</w:t>
      </w:r>
      <w:r>
        <w:t xml:space="preserve"> as being important by stakeholders across each of the </w:t>
      </w:r>
      <w:r w:rsidR="002E0C6A">
        <w:t xml:space="preserve">projects. While the referral process varied between the models </w:t>
      </w:r>
      <w:r w:rsidR="00BA399E">
        <w:t>however</w:t>
      </w:r>
      <w:r w:rsidR="00F44C31">
        <w:t>,</w:t>
      </w:r>
      <w:r w:rsidR="00BA399E">
        <w:t xml:space="preserve"> two key elements highlighted were:</w:t>
      </w:r>
    </w:p>
    <w:p w14:paraId="3449F32B" w14:textId="77777777" w:rsidR="00E747AE" w:rsidRDefault="00BA399E" w:rsidP="00D53262">
      <w:pPr>
        <w:pStyle w:val="-bullet"/>
      </w:pPr>
      <w:r>
        <w:t xml:space="preserve">In those models where patients were referred to the project for support - </w:t>
      </w:r>
      <w:r w:rsidR="002E0C6A">
        <w:t xml:space="preserve">consultees felt the processes </w:t>
      </w:r>
      <w:r w:rsidR="002E0C6A" w:rsidRPr="002E0C6A">
        <w:t>worked well as it was simple to make referrals and these were followed up quickly by project staff</w:t>
      </w:r>
      <w:r w:rsidR="00E747AE">
        <w:t xml:space="preserve">, with consultees noting that being able to make referrals by email ‘avoids overcomplicating the process’ and while there are categories to be able to provide sufficient detail, it does not deter referrals by requiring excessive time and effort </w:t>
      </w:r>
    </w:p>
    <w:p w14:paraId="14028188" w14:textId="77777777" w:rsidR="00BA399E" w:rsidRDefault="00BA399E" w:rsidP="00D53262">
      <w:pPr>
        <w:pStyle w:val="-bullet"/>
      </w:pPr>
      <w:r>
        <w:t xml:space="preserve">In the population wide model (Mid Essex) </w:t>
      </w:r>
      <w:r w:rsidRPr="00BA399E">
        <w:t xml:space="preserve">consultees highlighted that the referral process for </w:t>
      </w:r>
      <w:r w:rsidR="00426E1D">
        <w:t>SPCs</w:t>
      </w:r>
      <w:r w:rsidRPr="00BA399E">
        <w:t xml:space="preserve"> via the online portal was simple, quick and easy to use, allowing </w:t>
      </w:r>
      <w:r w:rsidR="00426E1D">
        <w:t>SPCs</w:t>
      </w:r>
      <w:r w:rsidR="00426E1D" w:rsidRPr="00BA399E">
        <w:t xml:space="preserve"> </w:t>
      </w:r>
      <w:r w:rsidRPr="00BA399E">
        <w:t>to make direct referrals via a simple form without ‘reams of forms….[which] saves time’; the interim report also noted that the online system is a ‘core asset of the model’</w:t>
      </w:r>
    </w:p>
    <w:p w14:paraId="3F2FE7C4" w14:textId="77777777" w:rsidR="00BA399E" w:rsidRDefault="002E0C6A" w:rsidP="00D53262">
      <w:pPr>
        <w:pStyle w:val="ListParagraph"/>
      </w:pPr>
      <w:r w:rsidRPr="000061CC">
        <w:rPr>
          <w:color w:val="00B0F0"/>
        </w:rPr>
        <w:t>Flexibility</w:t>
      </w:r>
      <w:r>
        <w:t xml:space="preserve"> – the ability to adapt and amend project delivery or approaches was noted as an important feature of most of the projects, </w:t>
      </w:r>
      <w:r w:rsidR="00E747AE">
        <w:t>this included</w:t>
      </w:r>
      <w:r w:rsidR="00BA399E">
        <w:t>:</w:t>
      </w:r>
    </w:p>
    <w:p w14:paraId="2BDB2E3C" w14:textId="77777777" w:rsidR="00BA399E" w:rsidRDefault="00E747AE" w:rsidP="00D53262">
      <w:pPr>
        <w:pStyle w:val="-bullet"/>
      </w:pPr>
      <w:r>
        <w:t>finding the best approach to supporting someone who did not wish to consent for their details to be forwarded for an onward referral</w:t>
      </w:r>
      <w:r w:rsidR="00BA399E">
        <w:t xml:space="preserve"> (Basildon and Brentwood)</w:t>
      </w:r>
      <w:r w:rsidR="002E39EC">
        <w:t xml:space="preserve"> or if a home visit is required (West Essex)</w:t>
      </w:r>
      <w:r w:rsidR="00F44C31">
        <w:t>;</w:t>
      </w:r>
    </w:p>
    <w:p w14:paraId="12897A15" w14:textId="77777777" w:rsidR="002E0C6A" w:rsidRDefault="00BA399E" w:rsidP="00D53262">
      <w:pPr>
        <w:pStyle w:val="-bullet"/>
      </w:pPr>
      <w:r>
        <w:t>c</w:t>
      </w:r>
      <w:r w:rsidRPr="00BA399E">
        <w:t>ontinual codesign and PDSA</w:t>
      </w:r>
      <w:r>
        <w:t>,</w:t>
      </w:r>
      <w:r w:rsidRPr="00BA399E">
        <w:t xml:space="preserve"> this was highlighted as a strength of the Mid Essex model as it means it can adapt to future locality demands / needs. The impact of this is evident in the adaption of SystmOne as a referral route for primary care in response to a lack of engagement from GP practices</w:t>
      </w:r>
      <w:r w:rsidR="00F44C31">
        <w:t>; and</w:t>
      </w:r>
    </w:p>
    <w:p w14:paraId="3F1D39A4" w14:textId="77777777" w:rsidR="002E39EC" w:rsidRDefault="002E39EC" w:rsidP="00D53262">
      <w:pPr>
        <w:pStyle w:val="-bullet"/>
      </w:pPr>
      <w:r>
        <w:t xml:space="preserve">approach to accepting referrals – </w:t>
      </w:r>
      <w:r w:rsidR="000061CC">
        <w:t>three</w:t>
      </w:r>
      <w:r>
        <w:t xml:space="preserve"> of the projects </w:t>
      </w:r>
      <w:r w:rsidR="000061CC">
        <w:t xml:space="preserve">(Castle Point and Rochford, North East Essex My Social Prescription and West Essex) </w:t>
      </w:r>
      <w:r>
        <w:t xml:space="preserve">were flexible in </w:t>
      </w:r>
      <w:r w:rsidR="000061CC">
        <w:t xml:space="preserve">their approach to accepting referrals </w:t>
      </w:r>
      <w:r w:rsidR="000061CC" w:rsidRPr="000061CC">
        <w:t>(by phone, email/letter, via Frontline etc.)</w:t>
      </w:r>
      <w:r w:rsidR="00F44C31">
        <w:t>.</w:t>
      </w:r>
    </w:p>
    <w:p w14:paraId="5F392364" w14:textId="77777777" w:rsidR="00E747AE" w:rsidRPr="00B93D30" w:rsidRDefault="00E747AE" w:rsidP="00D53262">
      <w:pPr>
        <w:pStyle w:val="ListParagraph"/>
        <w:rPr>
          <w:color w:val="4F81BD" w:themeColor="accent1"/>
        </w:rPr>
      </w:pPr>
      <w:r w:rsidRPr="000061CC">
        <w:rPr>
          <w:color w:val="00B0F0"/>
        </w:rPr>
        <w:t xml:space="preserve">Enables referring organisations to offer a wide range of supports to their clients </w:t>
      </w:r>
      <w:r>
        <w:t>–consultees highlighted that while they were aware of support organisations that existed</w:t>
      </w:r>
      <w:r w:rsidRPr="008E1D2D">
        <w:t xml:space="preserve">, they would not know </w:t>
      </w:r>
      <w:r w:rsidR="00F52B0C">
        <w:t xml:space="preserve">which </w:t>
      </w:r>
      <w:r w:rsidRPr="008E1D2D">
        <w:t xml:space="preserve">of the 200-300 to refer to. Therefore </w:t>
      </w:r>
      <w:r>
        <w:t>the Social Prescribing project</w:t>
      </w:r>
      <w:r w:rsidRPr="008E1D2D">
        <w:t xml:space="preserve"> </w:t>
      </w:r>
      <w:r>
        <w:t>act</w:t>
      </w:r>
      <w:r w:rsidR="00A37B9D">
        <w:t>s</w:t>
      </w:r>
      <w:r w:rsidRPr="008E1D2D">
        <w:t xml:space="preserve"> as a conduit that they can refer to and </w:t>
      </w:r>
      <w:r w:rsidR="00A37B9D">
        <w:t>which</w:t>
      </w:r>
      <w:r w:rsidR="00A37B9D" w:rsidRPr="008E1D2D">
        <w:t xml:space="preserve"> </w:t>
      </w:r>
      <w:r w:rsidRPr="008E1D2D">
        <w:t xml:space="preserve">can make an appropriate and informed onward referral. In addition it was noted by one consultee </w:t>
      </w:r>
      <w:r>
        <w:t xml:space="preserve">that made referrals to the Ways to Wellness project </w:t>
      </w:r>
      <w:r w:rsidRPr="008E1D2D">
        <w:t>that even if they did know which organisation to refer to</w:t>
      </w:r>
      <w:r w:rsidR="007A3CC4">
        <w:t>,</w:t>
      </w:r>
      <w:r w:rsidRPr="008E1D2D">
        <w:t xml:space="preserve"> each may have different referral processes or forms to be completed etc.; however once referred to Ways to Wellness they take on this part of the process, thereby eliminating time for the referring organisation</w:t>
      </w:r>
      <w:r>
        <w:rPr>
          <w:color w:val="4F81BD" w:themeColor="accent1"/>
        </w:rPr>
        <w:t xml:space="preserve"> </w:t>
      </w:r>
    </w:p>
    <w:p w14:paraId="2E0F92DD" w14:textId="77777777" w:rsidR="002F7AA6" w:rsidRDefault="002E39EC" w:rsidP="00D53262">
      <w:pPr>
        <w:pStyle w:val="ListParagraph"/>
      </w:pPr>
      <w:r w:rsidRPr="000061CC">
        <w:rPr>
          <w:color w:val="00B0F0"/>
        </w:rPr>
        <w:t xml:space="preserve">The skills/ personal attributes of the Social Prescribing staff/ Navigator </w:t>
      </w:r>
      <w:r>
        <w:t xml:space="preserve">- </w:t>
      </w:r>
      <w:r w:rsidRPr="002E39EC">
        <w:t xml:space="preserve">all consultees </w:t>
      </w:r>
      <w:r>
        <w:t xml:space="preserve">in those models that directly support patients / service users </w:t>
      </w:r>
      <w:r w:rsidRPr="002E39EC">
        <w:t>noted that the skills and personal qualities of those delivering the service was fundamental to the model, in particular one consultee stated that it was important for anyone in these roles to be able to listen to and understand the needs of the person referred “which is a different approach to only having five minutes and t</w:t>
      </w:r>
      <w:r w:rsidR="000061CC">
        <w:t>wo questions” during a GP visit</w:t>
      </w:r>
    </w:p>
    <w:p w14:paraId="2681F277" w14:textId="6341892B" w:rsidR="00D315F9" w:rsidRDefault="00D315F9" w:rsidP="00D315F9">
      <w:pPr>
        <w:pStyle w:val="Heading2"/>
      </w:pPr>
      <w:bookmarkStart w:id="55" w:name="_Toc497934285"/>
      <w:r>
        <w:t>Areas for Development</w:t>
      </w:r>
      <w:bookmarkEnd w:id="55"/>
    </w:p>
    <w:p w14:paraId="623F9253" w14:textId="77777777" w:rsidR="00D315F9" w:rsidRDefault="000061CC" w:rsidP="00AE785D">
      <w:pPr>
        <w:pStyle w:val="BodyText-parastyle"/>
      </w:pPr>
      <w:r w:rsidRPr="000061CC">
        <w:t xml:space="preserve">While key stakeholders were positive about the Social Prescribing project, the most common areas highlighted </w:t>
      </w:r>
      <w:r>
        <w:t xml:space="preserve">as considerations for any future projects </w:t>
      </w:r>
      <w:r w:rsidRPr="000061CC">
        <w:t>included:</w:t>
      </w:r>
    </w:p>
    <w:p w14:paraId="3BDD64DA" w14:textId="5FFEB10B" w:rsidR="00814FB2" w:rsidRDefault="00814FB2" w:rsidP="00D53262">
      <w:pPr>
        <w:pStyle w:val="ListParagraph"/>
      </w:pPr>
      <w:r w:rsidRPr="00814FB2">
        <w:rPr>
          <w:color w:val="00B0F0"/>
        </w:rPr>
        <w:t xml:space="preserve">Referral numbers </w:t>
      </w:r>
      <w:r>
        <w:t xml:space="preserve">– </w:t>
      </w:r>
      <w:r w:rsidRPr="00814FB2">
        <w:t xml:space="preserve">low referral numbers </w:t>
      </w:r>
      <w:r w:rsidR="00C70808" w:rsidRPr="00814FB2">
        <w:t>were</w:t>
      </w:r>
      <w:r w:rsidRPr="00814FB2">
        <w:t xml:space="preserve"> highlighted as a key issue </w:t>
      </w:r>
      <w:r>
        <w:t xml:space="preserve">by consultees across the projects </w:t>
      </w:r>
      <w:r w:rsidRPr="00814FB2">
        <w:t>and consideration should be given as to how to get more organisations to refer relevant people</w:t>
      </w:r>
      <w:r>
        <w:t>, in particular:</w:t>
      </w:r>
    </w:p>
    <w:p w14:paraId="3772CBD9" w14:textId="77777777" w:rsidR="000061CC" w:rsidRDefault="000061CC" w:rsidP="00D53262">
      <w:pPr>
        <w:pStyle w:val="-bullet"/>
      </w:pPr>
      <w:r>
        <w:t>Need for greater awareness amongst GPs</w:t>
      </w:r>
      <w:r w:rsidR="00814FB2">
        <w:t xml:space="preserve">: for those projects that were linked to specific practices </w:t>
      </w:r>
      <w:r>
        <w:t xml:space="preserve">staff highlighted that some GPs were not referring as they are not fully aware of the benefits of social prescribing and / or do not consider the project when meeting with a patient. It was suggested that greater promotion at commissioner level is needed in order to ‘ingrain’ social prescribing as an option for support. One stakeholder highlighted that communication with GPs is a key part of increasing referrals, noting that as </w:t>
      </w:r>
      <w:r w:rsidRPr="00766FC7">
        <w:t xml:space="preserve">GPs </w:t>
      </w:r>
      <w:r>
        <w:t>are</w:t>
      </w:r>
      <w:r w:rsidRPr="00766FC7">
        <w:t xml:space="preserve"> struggling to meet demand </w:t>
      </w:r>
      <w:r>
        <w:t>working with the social prescribing project should be a key mechanism to reduce this</w:t>
      </w:r>
      <w:r w:rsidR="003A092B">
        <w:t>.</w:t>
      </w:r>
      <w:r w:rsidR="00D23816">
        <w:t xml:space="preserve"> </w:t>
      </w:r>
    </w:p>
    <w:p w14:paraId="4A0316B4" w14:textId="787B9D44" w:rsidR="00814FB2" w:rsidRDefault="00814FB2" w:rsidP="00D53262">
      <w:pPr>
        <w:pStyle w:val="-bullet"/>
      </w:pPr>
      <w:r>
        <w:t xml:space="preserve">Need for greater referrals by </w:t>
      </w:r>
      <w:r w:rsidR="00426E1D">
        <w:t>SPCs</w:t>
      </w:r>
      <w:r>
        <w:t xml:space="preserve">: in Mid Essex consultees noted that </w:t>
      </w:r>
      <w:r w:rsidRPr="00814FB2">
        <w:t>it has taken time for referrals to increase and there is scope for these to be increased further. Those consulted highlighted that they are seeking to do this within their organisation by providing reminders to staff (in email updates etc.) and, in the case of one organization, by exploring embedding use of the system into performance reviews. This is key to ensuring that the investment in training champions is worthwhile and this needs close monitoring.</w:t>
      </w:r>
    </w:p>
    <w:p w14:paraId="738ACD2E" w14:textId="77777777" w:rsidR="000061CC" w:rsidRDefault="000061CC" w:rsidP="00D53262">
      <w:pPr>
        <w:pStyle w:val="ListParagraph"/>
      </w:pPr>
      <w:r w:rsidRPr="00814FB2">
        <w:rPr>
          <w:color w:val="00B0F0"/>
        </w:rPr>
        <w:t xml:space="preserve">Need for greater awareness amongst patients </w:t>
      </w:r>
      <w:r>
        <w:t xml:space="preserve">– </w:t>
      </w:r>
      <w:r w:rsidR="009E70A8">
        <w:t xml:space="preserve">for those projects that were linked to specific </w:t>
      </w:r>
      <w:r>
        <w:t>practice</w:t>
      </w:r>
      <w:r w:rsidR="009E70A8">
        <w:t>s</w:t>
      </w:r>
      <w:r>
        <w:t xml:space="preserve"> staff noted that patients are not fully aware of what social prescribing is/ can offer them and the term ‘prescription’ often means they believe it is another form of medication, and as a result they can often be reluctant to engage</w:t>
      </w:r>
    </w:p>
    <w:p w14:paraId="2EEE5D17" w14:textId="77777777" w:rsidR="000061CC" w:rsidRDefault="000061CC" w:rsidP="00D53262">
      <w:pPr>
        <w:pStyle w:val="ListParagraph"/>
      </w:pPr>
      <w:r w:rsidRPr="00814FB2">
        <w:rPr>
          <w:color w:val="00B0F0"/>
        </w:rPr>
        <w:t xml:space="preserve">Need for greater buy-in from GPs </w:t>
      </w:r>
      <w:r>
        <w:t xml:space="preserve">– one stakeholder indicated that most patients will want to see their GP </w:t>
      </w:r>
      <w:r w:rsidRPr="0038124F">
        <w:t>as this is what they have always done</w:t>
      </w:r>
      <w:r>
        <w:t xml:space="preserve"> and may not trust a new initiative; therefore GPs need to “</w:t>
      </w:r>
      <w:r w:rsidRPr="0038124F">
        <w:t xml:space="preserve">ramp up intensity on the message that </w:t>
      </w:r>
      <w:r>
        <w:t>social prescribing</w:t>
      </w:r>
      <w:r w:rsidRPr="0038124F">
        <w:t xml:space="preserve"> is a good thing for them</w:t>
      </w:r>
      <w:r>
        <w:t>”</w:t>
      </w:r>
      <w:r w:rsidR="00BA359A">
        <w:t>.</w:t>
      </w:r>
    </w:p>
    <w:p w14:paraId="09760D1B" w14:textId="0F4009CD" w:rsidR="009E70A8" w:rsidRDefault="009E70A8" w:rsidP="00D53262">
      <w:pPr>
        <w:pStyle w:val="ListParagraph"/>
      </w:pPr>
      <w:r w:rsidRPr="00814FB2">
        <w:rPr>
          <w:color w:val="00B0F0"/>
        </w:rPr>
        <w:t>V</w:t>
      </w:r>
      <w:r w:rsidR="00DD2CC6" w:rsidRPr="00814FB2">
        <w:rPr>
          <w:color w:val="00B0F0"/>
        </w:rPr>
        <w:t>olunteers</w:t>
      </w:r>
      <w:r w:rsidR="00DD2CC6">
        <w:t xml:space="preserve"> – </w:t>
      </w:r>
      <w:r>
        <w:t xml:space="preserve"> consultees highlighted </w:t>
      </w:r>
      <w:r w:rsidR="003C333D">
        <w:t>two key</w:t>
      </w:r>
      <w:r>
        <w:t xml:space="preserve"> issues in relation to volunteers: </w:t>
      </w:r>
    </w:p>
    <w:p w14:paraId="10E17ECE" w14:textId="77777777" w:rsidR="009E70A8" w:rsidRDefault="009E70A8" w:rsidP="00D53262">
      <w:pPr>
        <w:pStyle w:val="-bullet"/>
      </w:pPr>
      <w:r>
        <w:t xml:space="preserve">Recruitment: </w:t>
      </w:r>
      <w:r w:rsidR="00DD2CC6">
        <w:t>this was a significant issue for the West Essex</w:t>
      </w:r>
      <w:r w:rsidR="00DD2CC6" w:rsidRPr="00DD2CC6">
        <w:t xml:space="preserve"> project </w:t>
      </w:r>
      <w:r w:rsidR="00DD2CC6">
        <w:t xml:space="preserve">and it was not </w:t>
      </w:r>
      <w:r w:rsidR="00DD2CC6" w:rsidRPr="00DD2CC6">
        <w:t>able to recruit the anticipated number of volunteers that have met the required criteria (overall 27 people were interviews and of these 6 volunteer PIPs were appointed). Consultees believed that this may in part be due to the job requirements exceeding those that would be</w:t>
      </w:r>
      <w:r w:rsidR="00DD2CC6">
        <w:t xml:space="preserve"> expected from voluntary role</w:t>
      </w:r>
      <w:r w:rsidR="007A3CC4">
        <w:t>; and</w:t>
      </w:r>
    </w:p>
    <w:p w14:paraId="35CA6EF1" w14:textId="77777777" w:rsidR="00DD2CC6" w:rsidRPr="00DD2CC6" w:rsidRDefault="009E70A8" w:rsidP="00D53262">
      <w:pPr>
        <w:pStyle w:val="-bullet"/>
      </w:pPr>
      <w:r>
        <w:t xml:space="preserve">Need for ‘befriender’ volunteers – project staff from two of the projects highlighted that </w:t>
      </w:r>
      <w:r w:rsidR="00DD2CC6" w:rsidRPr="00DD2CC6">
        <w:t xml:space="preserve">some of those referred to the service experienced social isolation and </w:t>
      </w:r>
      <w:r>
        <w:t xml:space="preserve">while they </w:t>
      </w:r>
      <w:r w:rsidR="00DD2CC6" w:rsidRPr="00DD2CC6">
        <w:t>are referred to local social groups and clubs, however many lack the confidence to attend on their own and the recruitment of volunteers to carry out a befriending role would be beneficial.</w:t>
      </w:r>
    </w:p>
    <w:p w14:paraId="320EDFAE" w14:textId="77777777" w:rsidR="000061CC" w:rsidRDefault="000061CC" w:rsidP="00D53262">
      <w:pPr>
        <w:pStyle w:val="ListParagraph"/>
      </w:pPr>
      <w:r w:rsidRPr="00814FB2">
        <w:rPr>
          <w:color w:val="00B0F0"/>
        </w:rPr>
        <w:t>Need to manage relationships on an on-going basis</w:t>
      </w:r>
      <w:r w:rsidR="009E70A8">
        <w:t xml:space="preserve"> - </w:t>
      </w:r>
      <w:r>
        <w:t>the model relies on relationships and the collaboration / commitment of core stakeholder organisations. For the model to be a success requires the close management of relationships to maintain shared ownership of model, which can be challenging when budgets are being cut and when organisations also change structure and staff</w:t>
      </w:r>
      <w:r w:rsidR="00BA359A">
        <w:t>.</w:t>
      </w:r>
    </w:p>
    <w:p w14:paraId="7FA7DEAA" w14:textId="104F9E8C" w:rsidR="00D315F9" w:rsidRDefault="00D315F9" w:rsidP="00D315F9">
      <w:pPr>
        <w:pStyle w:val="Heading2"/>
      </w:pPr>
      <w:bookmarkStart w:id="56" w:name="_Toc497934286"/>
      <w:r>
        <w:t>Impacts</w:t>
      </w:r>
      <w:bookmarkEnd w:id="56"/>
    </w:p>
    <w:p w14:paraId="66161265" w14:textId="77777777" w:rsidR="00DD2CC6" w:rsidRDefault="00814FB2" w:rsidP="00AE785D">
      <w:pPr>
        <w:pStyle w:val="BodyText-parastyle"/>
      </w:pPr>
      <w:r>
        <w:t>Consultees highlighted perceived impacts across three key areas:</w:t>
      </w:r>
      <w:r w:rsidR="002908E4">
        <w:t xml:space="preserve"> primary/secondary care; project beneficiaries; and on the services provided by GP practices. </w:t>
      </w:r>
    </w:p>
    <w:p w14:paraId="56330224" w14:textId="77777777" w:rsidR="00771CC1" w:rsidRDefault="00DD2CC6" w:rsidP="002908E4">
      <w:pPr>
        <w:pStyle w:val="BodyText-italics"/>
      </w:pPr>
      <w:r w:rsidRPr="005E6784">
        <w:rPr>
          <w:color w:val="00B0F0"/>
        </w:rPr>
        <w:t xml:space="preserve">Impact on primary / secondary care </w:t>
      </w:r>
      <w:r>
        <w:t>– consultees noted that the project</w:t>
      </w:r>
      <w:r w:rsidR="00814FB2">
        <w:t>s</w:t>
      </w:r>
      <w:r>
        <w:t xml:space="preserve"> ha</w:t>
      </w:r>
      <w:r w:rsidR="00814FB2">
        <w:t>ve</w:t>
      </w:r>
      <w:r>
        <w:t xml:space="preserve"> helped to educate people on when it is appropriate to visit their GP / attend A+E and when it is not. It was suggested by one consultee </w:t>
      </w:r>
      <w:r w:rsidR="00814FB2">
        <w:t xml:space="preserve">interviewed for the West Essex Smart Life project </w:t>
      </w:r>
      <w:r>
        <w:t>that those referred more have more “</w:t>
      </w:r>
      <w:r w:rsidRPr="007868AE">
        <w:rPr>
          <w:i/>
        </w:rPr>
        <w:t xml:space="preserve">confidence in managing </w:t>
      </w:r>
      <w:r>
        <w:rPr>
          <w:i/>
        </w:rPr>
        <w:t xml:space="preserve">their </w:t>
      </w:r>
      <w:r w:rsidRPr="007868AE">
        <w:rPr>
          <w:i/>
        </w:rPr>
        <w:t>condition and are less panicked; meaning they are not attending A+E and instead using other resources or approaches (e.g. relaxation techniques)</w:t>
      </w:r>
      <w:r>
        <w:t xml:space="preserve">”. Knowledge in how to use health services more appropriately was highlighted </w:t>
      </w:r>
      <w:r w:rsidR="004F5053">
        <w:t xml:space="preserve">as a key benefit of the project. </w:t>
      </w:r>
    </w:p>
    <w:p w14:paraId="7ED24FC4" w14:textId="77777777" w:rsidR="00771CC1" w:rsidRDefault="00771CC1" w:rsidP="002908E4">
      <w:pPr>
        <w:pStyle w:val="BodyText-italics"/>
      </w:pPr>
    </w:p>
    <w:p w14:paraId="654B14CD" w14:textId="77777777" w:rsidR="00771CC1" w:rsidRDefault="00771CC1" w:rsidP="002908E4">
      <w:pPr>
        <w:pStyle w:val="BodyText-italics"/>
      </w:pPr>
    </w:p>
    <w:p w14:paraId="0C69ED65" w14:textId="77777777" w:rsidR="00771CC1" w:rsidRDefault="00771CC1" w:rsidP="002908E4">
      <w:pPr>
        <w:pStyle w:val="BodyText-italics"/>
      </w:pPr>
    </w:p>
    <w:p w14:paraId="77CCA998" w14:textId="7DE61576" w:rsidR="00CB5494" w:rsidRPr="00CB5494" w:rsidRDefault="004F5053" w:rsidP="002908E4">
      <w:pPr>
        <w:pStyle w:val="BodyText-italics"/>
      </w:pPr>
      <w:r>
        <w:t xml:space="preserve">In addition, </w:t>
      </w:r>
      <w:r w:rsidRPr="004F5053">
        <w:t>feedback from</w:t>
      </w:r>
      <w:r w:rsidR="00CB5494">
        <w:t xml:space="preserve"> a range of consultees highlighted th</w:t>
      </w:r>
      <w:r w:rsidR="001A0253">
        <w:t>e</w:t>
      </w:r>
      <w:r w:rsidR="00CB5494">
        <w:t xml:space="preserve"> impact on primary care in their area:</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CB5494" w14:paraId="3FE67AE5" w14:textId="77777777" w:rsidTr="00720CC0">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0193248F" w14:textId="77777777" w:rsidR="00CB5494" w:rsidRDefault="00CB5494" w:rsidP="00AE785D">
            <w:pPr>
              <w:pStyle w:val="BodyText-parastyle"/>
            </w:pPr>
            <w:r>
              <w:t>O</w:t>
            </w:r>
            <w:r w:rsidRPr="004F5053">
              <w:t xml:space="preserve">ne GP </w:t>
            </w:r>
            <w:r>
              <w:t>interview</w:t>
            </w:r>
            <w:r w:rsidR="00651B97">
              <w:t>ed</w:t>
            </w:r>
            <w:r>
              <w:t xml:space="preserve"> for the Basildon and Brentwood Social Prescribing project </w:t>
            </w:r>
            <w:r w:rsidRPr="004F5053">
              <w:t>highlighted that many of the patients they have referred no longer come back to see them for the same issues and since referring to the social prescribing project they have made fewer referrals to the mental health team; this is particularly relevant for frequent attenders who need social support but have no medical needs (e.g. are socially isolated, need help with weight management or financial issues that are impacting on their overall health and wellbeing), and has helped to reduce the number of unnecessary appointments.</w:t>
            </w:r>
          </w:p>
          <w:p w14:paraId="04EE2AA4" w14:textId="77777777" w:rsidR="00CB5494" w:rsidRDefault="00CB5494" w:rsidP="00AE785D">
            <w:pPr>
              <w:pStyle w:val="BodyText-parastyle"/>
            </w:pPr>
            <w:r>
              <w:t xml:space="preserve">- </w:t>
            </w:r>
            <w:r w:rsidR="00B847E9">
              <w:t xml:space="preserve">Consultee Interview for the </w:t>
            </w:r>
            <w:r>
              <w:t xml:space="preserve">Basildon and Brentwood Social Prescribing Project </w:t>
            </w:r>
          </w:p>
        </w:tc>
      </w:tr>
    </w:tbl>
    <w:p w14:paraId="5A71EFA0" w14:textId="77777777" w:rsidR="00D465F1" w:rsidRDefault="00D465F1" w:rsidP="00AE785D">
      <w:pPr>
        <w:pStyle w:val="BodyText-parastyle"/>
      </w:pP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69"/>
      </w:tblGrid>
      <w:tr w:rsidR="00CB5494" w14:paraId="6682A864" w14:textId="77777777" w:rsidTr="008A38A6">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auto"/>
          </w:tcPr>
          <w:p w14:paraId="7848A01B" w14:textId="77777777" w:rsidR="00CB5494" w:rsidRDefault="00CB5494" w:rsidP="00AE785D">
            <w:pPr>
              <w:pStyle w:val="BodyText-parastyle"/>
            </w:pPr>
            <w:r>
              <w:t xml:space="preserve">One consultee who is a </w:t>
            </w:r>
            <w:r w:rsidRPr="000D439F">
              <w:t>reablement advice coordinator</w:t>
            </w:r>
            <w:r>
              <w:t xml:space="preserve"> highlighted that their c</w:t>
            </w:r>
            <w:r w:rsidRPr="000D439F">
              <w:t xml:space="preserve">lients have </w:t>
            </w:r>
            <w:r>
              <w:t xml:space="preserve">often </w:t>
            </w:r>
            <w:r w:rsidRPr="000D439F">
              <w:t xml:space="preserve">been in hospital for a long or short time and </w:t>
            </w:r>
            <w:r>
              <w:t xml:space="preserve">when they </w:t>
            </w:r>
            <w:r w:rsidRPr="000D439F">
              <w:t xml:space="preserve">return home </w:t>
            </w:r>
            <w:r>
              <w:t>can</w:t>
            </w:r>
            <w:r w:rsidRPr="000D439F">
              <w:t xml:space="preserve"> be social</w:t>
            </w:r>
            <w:r w:rsidR="008E5FBE">
              <w:t>ly</w:t>
            </w:r>
            <w:r w:rsidRPr="000D439F">
              <w:t xml:space="preserve"> isolated, have lost confidence or need support to access groups</w:t>
            </w:r>
            <w:r>
              <w:t>. It was believed that</w:t>
            </w:r>
            <w:r w:rsidRPr="000D439F">
              <w:t xml:space="preserve"> without </w:t>
            </w:r>
            <w:r>
              <w:t>the Social Prescribing project the clients they referred</w:t>
            </w:r>
            <w:r w:rsidRPr="000D439F">
              <w:t xml:space="preserve"> would have gone to their GP</w:t>
            </w:r>
            <w:r>
              <w:t>, noting that</w:t>
            </w:r>
            <w:r w:rsidRPr="000D439F">
              <w:t xml:space="preserve"> “</w:t>
            </w:r>
            <w:r w:rsidRPr="003A2DBB">
              <w:rPr>
                <w:i/>
              </w:rPr>
              <w:t>Social Prescribing is filling a niche in the market; providing someone who is aware of what is available to support our clients, without this they would have sought this from their GP</w:t>
            </w:r>
            <w:r>
              <w:t xml:space="preserve">” </w:t>
            </w:r>
          </w:p>
          <w:p w14:paraId="15332798" w14:textId="77777777" w:rsidR="00CB5494" w:rsidRDefault="00CB5494" w:rsidP="00AE785D">
            <w:pPr>
              <w:pStyle w:val="BodyText-parastyle"/>
            </w:pPr>
            <w:r>
              <w:t xml:space="preserve">- </w:t>
            </w:r>
            <w:r w:rsidR="00B847E9">
              <w:t xml:space="preserve">Consultee Interview for the </w:t>
            </w:r>
            <w:r>
              <w:t xml:space="preserve">Castle Point and Rochford Ways to Wellness Project </w:t>
            </w:r>
          </w:p>
        </w:tc>
      </w:tr>
    </w:tbl>
    <w:p w14:paraId="3D82EAAE" w14:textId="77777777" w:rsidR="00CB5494" w:rsidRDefault="00CB5494" w:rsidP="00AE785D">
      <w:pPr>
        <w:pStyle w:val="BodyText-parastyle"/>
      </w:pP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69"/>
      </w:tblGrid>
      <w:tr w:rsidR="00CB5494" w14:paraId="0F867C4E" w14:textId="77777777" w:rsidTr="008A38A6">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auto"/>
          </w:tcPr>
          <w:p w14:paraId="6271F3B2" w14:textId="77777777" w:rsidR="00CB5494" w:rsidRDefault="00CB5494" w:rsidP="00AE785D">
            <w:pPr>
              <w:pStyle w:val="BodyText-parastyle"/>
            </w:pPr>
            <w:r>
              <w:t xml:space="preserve">One consultee who provides a befriending service noting </w:t>
            </w:r>
            <w:r w:rsidRPr="00D41F89">
              <w:rPr>
                <w:i/>
              </w:rPr>
              <w:t>“</w:t>
            </w:r>
            <w:r>
              <w:rPr>
                <w:i/>
              </w:rPr>
              <w:t>w</w:t>
            </w:r>
            <w:r w:rsidRPr="00D41F89">
              <w:rPr>
                <w:i/>
              </w:rPr>
              <w:t xml:space="preserve">ithout this support </w:t>
            </w:r>
            <w:r>
              <w:rPr>
                <w:i/>
              </w:rPr>
              <w:t>[clients]</w:t>
            </w:r>
            <w:r w:rsidRPr="00D41F89">
              <w:rPr>
                <w:i/>
              </w:rPr>
              <w:t xml:space="preserve"> would repeat their old ways and go back to their GP or phone a</w:t>
            </w:r>
            <w:r>
              <w:rPr>
                <w:i/>
              </w:rPr>
              <w:t>n ambulance for conversation</w:t>
            </w:r>
            <w:r w:rsidRPr="00D41F89">
              <w:rPr>
                <w:i/>
              </w:rPr>
              <w:t>”</w:t>
            </w:r>
            <w:r>
              <w:t xml:space="preserve">. It was noted that there is a continuing need for the service, believing that </w:t>
            </w:r>
            <w:r w:rsidRPr="008211A6">
              <w:t>S</w:t>
            </w:r>
            <w:r>
              <w:t xml:space="preserve">ocial </w:t>
            </w:r>
            <w:r w:rsidRPr="008211A6">
              <w:t>P</w:t>
            </w:r>
            <w:r>
              <w:t>rescribing can continue to</w:t>
            </w:r>
            <w:r w:rsidRPr="008211A6">
              <w:t xml:space="preserve"> support people to be rehabilitated in their home</w:t>
            </w:r>
          </w:p>
          <w:p w14:paraId="489ECF60" w14:textId="77777777" w:rsidR="00CB5494" w:rsidRDefault="00CB5494" w:rsidP="00AE785D">
            <w:pPr>
              <w:pStyle w:val="BodyText-parastyle"/>
            </w:pPr>
            <w:r>
              <w:t xml:space="preserve">- </w:t>
            </w:r>
            <w:r w:rsidR="00B847E9">
              <w:t xml:space="preserve">Consultee Interview for the </w:t>
            </w:r>
            <w:r>
              <w:t xml:space="preserve">Castle Point and Rochford Ways to Wellness Project </w:t>
            </w:r>
          </w:p>
        </w:tc>
      </w:tr>
    </w:tbl>
    <w:p w14:paraId="355B7B6D" w14:textId="77777777" w:rsidR="00CB5494" w:rsidRDefault="00CB5494" w:rsidP="00AE785D">
      <w:pPr>
        <w:pStyle w:val="BodyText-parastyle"/>
      </w:pPr>
    </w:p>
    <w:p w14:paraId="56C4E4E7" w14:textId="77777777" w:rsidR="00771CC1" w:rsidRDefault="00771CC1" w:rsidP="00AE785D">
      <w:pPr>
        <w:pStyle w:val="BodyText-parastyle"/>
      </w:pPr>
    </w:p>
    <w:p w14:paraId="5A8E4802" w14:textId="77777777" w:rsidR="00771CC1" w:rsidRDefault="00771CC1" w:rsidP="00AE785D">
      <w:pPr>
        <w:pStyle w:val="BodyText-parastyle"/>
      </w:pPr>
    </w:p>
    <w:p w14:paraId="1F6D699E" w14:textId="77777777" w:rsidR="00771CC1" w:rsidRDefault="00771CC1" w:rsidP="00AE785D">
      <w:pPr>
        <w:pStyle w:val="BodyText-parastyle"/>
      </w:pPr>
    </w:p>
    <w:p w14:paraId="437993A9" w14:textId="77777777" w:rsidR="00771CC1" w:rsidRDefault="00771CC1" w:rsidP="00AE785D">
      <w:pPr>
        <w:pStyle w:val="BodyText-parastyle"/>
      </w:pPr>
    </w:p>
    <w:p w14:paraId="2A229C41" w14:textId="77777777" w:rsidR="00771CC1" w:rsidRDefault="00771CC1" w:rsidP="00AE785D">
      <w:pPr>
        <w:pStyle w:val="BodyText-parastyle"/>
      </w:pP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69"/>
      </w:tblGrid>
      <w:tr w:rsidR="00CB5494" w14:paraId="37F57A18" w14:textId="77777777" w:rsidTr="008A38A6">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auto"/>
          </w:tcPr>
          <w:p w14:paraId="119ADC31" w14:textId="77777777" w:rsidR="00CB5494" w:rsidRDefault="00CB5494" w:rsidP="00AE785D">
            <w:pPr>
              <w:pStyle w:val="BodyText-parastyle"/>
            </w:pPr>
            <w:r>
              <w:t>One consultee who is an Occupational Therapist highlighted that their patients are often socially isolated and / or experience mental ill health, however My Social Prescription is able to link them with activities / support organisations that increase their motivation and confidence to engage in community activities. It was suggested that without this support the mental health of some of those referred could have deteriorated and that since referring people to the project they “</w:t>
            </w:r>
            <w:r w:rsidRPr="006C10FF">
              <w:rPr>
                <w:i/>
              </w:rPr>
              <w:t>have not had to work with people they have referred on as their needs have been met elsewhere</w:t>
            </w:r>
            <w:r>
              <w:t xml:space="preserve">”. It was also noted that the project is effectively addressing ‘lower level need’ and if the right support is provided at this level it can prevent issues escalating to when a statutory organisation or support may be needed. </w:t>
            </w:r>
          </w:p>
          <w:p w14:paraId="7CFE043C" w14:textId="77777777" w:rsidR="00CB5494" w:rsidRDefault="00CB5494" w:rsidP="00AE785D">
            <w:pPr>
              <w:pStyle w:val="BodyText-parastyle"/>
            </w:pPr>
            <w:r>
              <w:t xml:space="preserve">- </w:t>
            </w:r>
            <w:r w:rsidR="00B847E9">
              <w:t xml:space="preserve">Consultee Interview for the </w:t>
            </w:r>
            <w:r>
              <w:t xml:space="preserve">North East Essex My Social Prescription Project </w:t>
            </w:r>
          </w:p>
        </w:tc>
      </w:tr>
    </w:tbl>
    <w:p w14:paraId="18E6651E" w14:textId="77777777" w:rsidR="00720CC0" w:rsidRDefault="00720CC0" w:rsidP="00AE785D">
      <w:pPr>
        <w:pStyle w:val="BodyText-parastyle"/>
      </w:pPr>
    </w:p>
    <w:p w14:paraId="0E6C9AF1" w14:textId="77777777" w:rsidR="00214509" w:rsidRDefault="00DD2CC6" w:rsidP="00D53262">
      <w:pPr>
        <w:pStyle w:val="ListParagraph"/>
      </w:pPr>
      <w:r w:rsidRPr="00214509">
        <w:rPr>
          <w:color w:val="00B0F0"/>
          <w:lang w:val="en-GB"/>
        </w:rPr>
        <w:t xml:space="preserve">Impact on project beneficiaries </w:t>
      </w:r>
      <w:r w:rsidR="00214509">
        <w:rPr>
          <w:lang w:val="en-GB"/>
        </w:rPr>
        <w:t>–</w:t>
      </w:r>
      <w:r>
        <w:rPr>
          <w:lang w:val="en-GB"/>
        </w:rPr>
        <w:t xml:space="preserve"> </w:t>
      </w:r>
      <w:r w:rsidR="00214509" w:rsidRPr="00214509">
        <w:rPr>
          <w:lang w:val="en-GB"/>
        </w:rPr>
        <w:t>all consultees suggested that a key element of the My Social Prescription project is the unique and tailored support it provides that results in the best possible ou</w:t>
      </w:r>
      <w:r w:rsidR="00214509">
        <w:rPr>
          <w:lang w:val="en-GB"/>
        </w:rPr>
        <w:t>tcome for the people they refer and felt the support provided helped to address a wide range of needs: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214509" w14:paraId="79139044" w14:textId="77777777" w:rsidTr="00214509">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7780B563" w14:textId="77777777" w:rsidR="00214509" w:rsidRDefault="00214509" w:rsidP="00AE785D">
            <w:pPr>
              <w:pStyle w:val="BodyText-parastyle"/>
            </w:pPr>
            <w:r>
              <w:t>C</w:t>
            </w:r>
            <w:r w:rsidRPr="009B2E59">
              <w:t xml:space="preserve">onsultees </w:t>
            </w:r>
            <w:r>
              <w:t>that referred to the Smart Life project felt the tailored support provided had helped to address a wide range of needs (e.g. social isolation, financial problems etc.), with one consultee noting “</w:t>
            </w:r>
            <w:r w:rsidRPr="009B2E59">
              <w:rPr>
                <w:i/>
              </w:rPr>
              <w:t>they feel valued as a patient and no longer isolated or lost with their condition – they feel activated, supported and more like a partner in their own care</w:t>
            </w:r>
            <w:r>
              <w:t>”</w:t>
            </w:r>
          </w:p>
          <w:p w14:paraId="1FBB8CC1" w14:textId="31008D5F" w:rsidR="00214509" w:rsidRDefault="00214509" w:rsidP="00AE785D">
            <w:pPr>
              <w:pStyle w:val="BodyText-parastyle"/>
            </w:pPr>
            <w:r>
              <w:t xml:space="preserve">- Consultee Interview for the West Essex Smart </w:t>
            </w:r>
            <w:r w:rsidR="003C333D">
              <w:t>Life Project</w:t>
            </w:r>
            <w:r>
              <w:t xml:space="preserve"> </w:t>
            </w:r>
          </w:p>
        </w:tc>
      </w:tr>
    </w:tbl>
    <w:p w14:paraId="7E927DD4" w14:textId="77777777" w:rsidR="006A76DB" w:rsidRDefault="006A76DB" w:rsidP="00AE785D">
      <w:pPr>
        <w:pStyle w:val="BodyText-parastyle"/>
      </w:pP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214509" w14:paraId="384DDB79" w14:textId="77777777" w:rsidTr="008A38A6">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54F23B68" w14:textId="77777777" w:rsidR="00214509" w:rsidRDefault="00214509" w:rsidP="00AE785D">
            <w:pPr>
              <w:pStyle w:val="BodyText-parastyle"/>
            </w:pPr>
            <w:r>
              <w:t xml:space="preserve">It was noted that many social issues are identified in GP consultations, for example one stakeholder highlighted that a </w:t>
            </w:r>
            <w:r w:rsidRPr="00D30343">
              <w:t xml:space="preserve">patient </w:t>
            </w:r>
            <w:r>
              <w:t>with anxiety</w:t>
            </w:r>
            <w:r w:rsidRPr="00D30343">
              <w:t xml:space="preserve"> </w:t>
            </w:r>
            <w:r>
              <w:t>asked for</w:t>
            </w:r>
            <w:r w:rsidRPr="00D30343">
              <w:t xml:space="preserve"> a pill to be prescribed, however </w:t>
            </w:r>
            <w:r>
              <w:t>during the GP consultation it was</w:t>
            </w:r>
            <w:r w:rsidRPr="00D30343">
              <w:t xml:space="preserve"> identified </w:t>
            </w:r>
            <w:r>
              <w:t>they were not</w:t>
            </w:r>
            <w:r w:rsidRPr="00D30343">
              <w:t xml:space="preserve"> sleeping </w:t>
            </w:r>
            <w:r>
              <w:t>due to</w:t>
            </w:r>
            <w:r w:rsidRPr="00D30343">
              <w:t xml:space="preserve"> social </w:t>
            </w:r>
            <w:r>
              <w:t xml:space="preserve">issues </w:t>
            </w:r>
            <w:r w:rsidRPr="00D30343">
              <w:t xml:space="preserve">(debt / housing </w:t>
            </w:r>
            <w:r>
              <w:t xml:space="preserve">problems) and did not require medication; </w:t>
            </w:r>
            <w:r w:rsidRPr="00D30343">
              <w:t xml:space="preserve">they were referred to </w:t>
            </w:r>
            <w:r>
              <w:t xml:space="preserve">the social prescribing project that linked them with </w:t>
            </w:r>
            <w:r w:rsidRPr="00D30343">
              <w:t>an organisation that could help with this</w:t>
            </w:r>
            <w:r>
              <w:t xml:space="preserve"> issue. Overall practice staff indicated that the project has had a positive impact with one noting that the project had been “</w:t>
            </w:r>
            <w:r w:rsidRPr="00116F39">
              <w:rPr>
                <w:i/>
              </w:rPr>
              <w:t>very beneficial [and] patients have reported improvements</w:t>
            </w:r>
            <w:r w:rsidRPr="00116F39">
              <w:t>”</w:t>
            </w:r>
            <w:r>
              <w:t>.</w:t>
            </w:r>
          </w:p>
          <w:p w14:paraId="6BDDD554" w14:textId="77777777" w:rsidR="00214509" w:rsidRDefault="00214509" w:rsidP="00AE785D">
            <w:pPr>
              <w:pStyle w:val="BodyText-parastyle"/>
            </w:pPr>
            <w:r>
              <w:t>- Consultee Interview for the Basildon and Brentwood Social Prescribing Project</w:t>
            </w:r>
          </w:p>
        </w:tc>
      </w:tr>
    </w:tbl>
    <w:p w14:paraId="1DE9706C" w14:textId="77777777" w:rsidR="00214509" w:rsidRDefault="00214509" w:rsidP="00214509"/>
    <w:p w14:paraId="03C1378B" w14:textId="77777777" w:rsidR="00771CC1" w:rsidRDefault="00771CC1" w:rsidP="00214509"/>
    <w:p w14:paraId="267C92B5" w14:textId="77777777" w:rsidR="00771CC1" w:rsidRDefault="00771CC1" w:rsidP="00214509"/>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214509" w14:paraId="4D620A36" w14:textId="77777777" w:rsidTr="008A38A6">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1F8AB34E" w14:textId="6DE34F22" w:rsidR="00214509" w:rsidRDefault="00214509" w:rsidP="00AE785D">
            <w:pPr>
              <w:pStyle w:val="BodyText-parastyle"/>
              <w:rPr>
                <w:i/>
              </w:rPr>
            </w:pPr>
            <w:r>
              <w:t>A</w:t>
            </w:r>
            <w:r w:rsidRPr="003A2DBB">
              <w:t xml:space="preserve"> representative from Rochford &amp; Castle Point District police noted they referred a </w:t>
            </w:r>
            <w:r w:rsidR="003C333D" w:rsidRPr="003A2DBB">
              <w:t>middle-aged</w:t>
            </w:r>
            <w:r w:rsidRPr="003A2DBB">
              <w:t xml:space="preserve"> man with financial difficulties who had been reported missing on two occasions to Ways to Wellness. Thereafter the individual has not been reported to them and the consultee believed this to be a positive sign that he received the support he needed. In addition, it was stated that while they did not have evidence of specific impacts for their referrals, they believed these to be positive, suggesting </w:t>
            </w:r>
            <w:r w:rsidRPr="003A2DBB">
              <w:rPr>
                <w:i/>
              </w:rPr>
              <w:t>“by default the project must be relieving pressure down the line by preventing the “low risk’ cases becoming high risk cases, for example by preventing an individual becoming suicidal due to financial issues that could be resolved with the right form of support”</w:t>
            </w:r>
          </w:p>
          <w:p w14:paraId="270D8989" w14:textId="77777777" w:rsidR="00214509" w:rsidRDefault="00214509" w:rsidP="00AE785D">
            <w:pPr>
              <w:pStyle w:val="BodyText-parastyle"/>
            </w:pPr>
            <w:r>
              <w:t>- Consultee Interview for the Castle Point and Rochford Ways to Wellness Project</w:t>
            </w:r>
          </w:p>
        </w:tc>
      </w:tr>
    </w:tbl>
    <w:p w14:paraId="4083C079" w14:textId="77777777" w:rsidR="00720CC0" w:rsidRDefault="00720CC0" w:rsidP="00AE785D">
      <w:pPr>
        <w:pStyle w:val="BodyText-parastyle"/>
      </w:pP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214509" w14:paraId="3C5FBF35" w14:textId="77777777" w:rsidTr="008A38A6">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268B44CC" w14:textId="77777777" w:rsidR="00214509" w:rsidRDefault="00214509" w:rsidP="00AE785D">
            <w:pPr>
              <w:pStyle w:val="BodyText-parastyle"/>
            </w:pPr>
            <w:r>
              <w:t>Helped to improve the support they can provide to people they see on a daily basis as part of their ‘day job’, with feedback from one Housing Association highlighting that “</w:t>
            </w:r>
            <w:r w:rsidRPr="00644236">
              <w:rPr>
                <w:i/>
              </w:rPr>
              <w:t>the tool enables my team to connect people with the services that are out there</w:t>
            </w:r>
            <w:r>
              <w:t xml:space="preserve"> </w:t>
            </w:r>
            <w:r w:rsidRPr="00AE7776">
              <w:rPr>
                <w:i/>
              </w:rPr>
              <w:t>[which in turn] has helped residents to sustain their tenancies</w:t>
            </w:r>
            <w:r>
              <w:rPr>
                <w:i/>
              </w:rPr>
              <w:t>….and stop people falling into crisis</w:t>
            </w:r>
            <w:r>
              <w:t>”</w:t>
            </w:r>
          </w:p>
          <w:p w14:paraId="47DB1FCC" w14:textId="77777777" w:rsidR="00214509" w:rsidRDefault="00214509" w:rsidP="00AE785D">
            <w:pPr>
              <w:pStyle w:val="BodyText-parastyle"/>
            </w:pPr>
            <w:r>
              <w:t>- Consultee Interview for the Mid Essex Connect Well Project</w:t>
            </w:r>
          </w:p>
        </w:tc>
      </w:tr>
    </w:tbl>
    <w:p w14:paraId="403735E3" w14:textId="77777777" w:rsidR="00214509" w:rsidRDefault="00214509" w:rsidP="00AE785D">
      <w:pPr>
        <w:pStyle w:val="BodyText-parastyle"/>
      </w:pPr>
    </w:p>
    <w:p w14:paraId="26B27A59" w14:textId="4B82F27A" w:rsidR="00D315F9" w:rsidRPr="00720CC0" w:rsidRDefault="00DD2CC6" w:rsidP="00D53262">
      <w:pPr>
        <w:pStyle w:val="ListParagraph"/>
        <w:rPr>
          <w:lang w:val="en-GB"/>
        </w:rPr>
      </w:pPr>
      <w:r w:rsidRPr="005E6784">
        <w:rPr>
          <w:color w:val="00B0F0"/>
          <w:lang w:val="en-GB"/>
        </w:rPr>
        <w:t>Provides an additional service to the GP practices it is aligned with</w:t>
      </w:r>
      <w:r>
        <w:rPr>
          <w:lang w:val="en-GB"/>
        </w:rPr>
        <w:t xml:space="preserve"> – GP consultees </w:t>
      </w:r>
      <w:r w:rsidR="00214509">
        <w:rPr>
          <w:lang w:val="en-GB"/>
        </w:rPr>
        <w:t xml:space="preserve">for the Smart Life project </w:t>
      </w:r>
      <w:r>
        <w:rPr>
          <w:lang w:val="en-GB"/>
        </w:rPr>
        <w:t xml:space="preserve">stated that the PIP </w:t>
      </w:r>
      <w:r w:rsidRPr="000824CA">
        <w:rPr>
          <w:lang w:val="en-GB"/>
        </w:rPr>
        <w:t xml:space="preserve">has integrated </w:t>
      </w:r>
      <w:r>
        <w:rPr>
          <w:lang w:val="en-GB"/>
        </w:rPr>
        <w:t xml:space="preserve">well </w:t>
      </w:r>
      <w:r w:rsidRPr="000824CA">
        <w:rPr>
          <w:lang w:val="en-GB"/>
        </w:rPr>
        <w:t xml:space="preserve">into the </w:t>
      </w:r>
      <w:r>
        <w:rPr>
          <w:lang w:val="en-GB"/>
        </w:rPr>
        <w:t>six</w:t>
      </w:r>
      <w:r w:rsidRPr="000824CA">
        <w:rPr>
          <w:lang w:val="en-GB"/>
        </w:rPr>
        <w:t xml:space="preserve"> practices </w:t>
      </w:r>
      <w:r>
        <w:rPr>
          <w:lang w:val="en-GB"/>
        </w:rPr>
        <w:t>and</w:t>
      </w:r>
      <w:r w:rsidRPr="000824CA">
        <w:rPr>
          <w:lang w:val="en-GB"/>
        </w:rPr>
        <w:t xml:space="preserve"> provides extra support </w:t>
      </w:r>
      <w:r>
        <w:rPr>
          <w:lang w:val="en-GB"/>
        </w:rPr>
        <w:t>that is not otherwise available, suggesting that “</w:t>
      </w:r>
      <w:r w:rsidRPr="000824CA">
        <w:rPr>
          <w:i/>
          <w:lang w:val="en-GB"/>
        </w:rPr>
        <w:t>if someone had diabetes they can see a diabetes nurse, without Smart Life there is no one to help people that may be frequent attenders due to panicking or worry about their condition</w:t>
      </w:r>
      <w:r>
        <w:rPr>
          <w:lang w:val="en-GB"/>
        </w:rPr>
        <w:t>”.</w:t>
      </w:r>
    </w:p>
    <w:p w14:paraId="2C266F7F" w14:textId="51BFF509" w:rsidR="00D315F9" w:rsidRDefault="00D315F9" w:rsidP="00D315F9">
      <w:pPr>
        <w:pStyle w:val="Heading2"/>
      </w:pPr>
      <w:bookmarkStart w:id="57" w:name="_Toc497934287"/>
      <w:r>
        <w:t>Shared Learning</w:t>
      </w:r>
      <w:bookmarkEnd w:id="57"/>
      <w:r>
        <w:t xml:space="preserve"> </w:t>
      </w:r>
    </w:p>
    <w:p w14:paraId="599018A7" w14:textId="1C5F7E9F" w:rsidR="00D315F9" w:rsidRDefault="009A23B1" w:rsidP="00AE785D">
      <w:pPr>
        <w:pStyle w:val="BodyText-parastyle"/>
      </w:pPr>
      <w:r>
        <w:t>W</w:t>
      </w:r>
      <w:r w:rsidR="00D315F9">
        <w:t xml:space="preserve">orkshops with delivery bodies and CCGs </w:t>
      </w:r>
      <w:r>
        <w:t xml:space="preserve">have shown </w:t>
      </w:r>
      <w:r w:rsidR="00D315F9">
        <w:t>that there is significant commitment and enthusiasm for Soci</w:t>
      </w:r>
      <w:r w:rsidR="002908E4">
        <w:t xml:space="preserve">al Prescribing. </w:t>
      </w:r>
      <w:r w:rsidR="00D315F9">
        <w:t>This is evident through the sharing of information and learnings</w:t>
      </w:r>
      <w:r>
        <w:t xml:space="preserve"> in areas such as </w:t>
      </w:r>
      <w:r w:rsidR="00D315F9">
        <w:t>recruitment of participants, achieving healthcare professional / key stakeholder buy-</w:t>
      </w:r>
      <w:r>
        <w:t>in and links to other services (i.e.</w:t>
      </w:r>
      <w:r w:rsidR="001C2546">
        <w:t xml:space="preserve"> Community Agents, Active Essex, Healthy Lifestyle Service, Dementia Care, Books on Prescription</w:t>
      </w:r>
      <w:r w:rsidR="00D315F9">
        <w:t xml:space="preserve"> etc.</w:t>
      </w:r>
      <w:r>
        <w:t>)</w:t>
      </w:r>
      <w:r w:rsidR="00D315F9">
        <w:t xml:space="preserve">   </w:t>
      </w:r>
    </w:p>
    <w:p w14:paraId="080EA8E2" w14:textId="77777777" w:rsidR="00D315F9" w:rsidRDefault="00D315F9" w:rsidP="00AE785D">
      <w:pPr>
        <w:pStyle w:val="BodyText-parastyle"/>
      </w:pPr>
      <w:r>
        <w:t>In addition, some of the delivery organisations are members of the National Social Prescribing Network.</w:t>
      </w:r>
      <w:r>
        <w:rPr>
          <w:rStyle w:val="FootnoteReference"/>
        </w:rPr>
        <w:footnoteReference w:id="89"/>
      </w:r>
      <w:r>
        <w:t xml:space="preserve"> They in turn provide information on events or learnings from other Social Prescribing Networks to the Essex group. </w:t>
      </w:r>
    </w:p>
    <w:p w14:paraId="3571989B" w14:textId="77777777" w:rsidR="00D315F9" w:rsidRDefault="002908E4" w:rsidP="00AE785D">
      <w:pPr>
        <w:pStyle w:val="BodyText-parastyle"/>
      </w:pPr>
      <w:r>
        <w:t>S</w:t>
      </w:r>
      <w:r w:rsidR="00D315F9">
        <w:t xml:space="preserve">taff feedback suggests new relationships are being developed (e.g. between health, social care and the third sector) as part of a wider cultural change, for example some delivery staff are </w:t>
      </w:r>
      <w:r w:rsidR="00D315F9" w:rsidRPr="002C7D4F">
        <w:t>working alongside socia</w:t>
      </w:r>
      <w:r w:rsidR="00D315F9">
        <w:t>l care on forums and committees</w:t>
      </w:r>
      <w:r w:rsidR="00D315F9" w:rsidRPr="002C7D4F">
        <w:t xml:space="preserve"> supported by local strategic partnerships </w:t>
      </w:r>
      <w:r w:rsidR="00D315F9">
        <w:t>or</w:t>
      </w:r>
      <w:r w:rsidR="00D315F9" w:rsidRPr="002C7D4F">
        <w:t xml:space="preserve"> undertake joint training</w:t>
      </w:r>
      <w:r w:rsidR="00D315F9">
        <w:t xml:space="preserve"> and as</w:t>
      </w:r>
      <w:r w:rsidR="00D25711">
        <w:t xml:space="preserve"> a</w:t>
      </w:r>
      <w:r w:rsidR="00D315F9">
        <w:t xml:space="preserve"> result are getting referrals from social care staff</w:t>
      </w:r>
      <w:r w:rsidR="00C07358">
        <w:t>.</w:t>
      </w:r>
    </w:p>
    <w:p w14:paraId="799D15E6" w14:textId="04D3146C" w:rsidR="00720CC0" w:rsidRDefault="00C07358" w:rsidP="00771CC1">
      <w:pPr>
        <w:pStyle w:val="BodyText-parastyle"/>
      </w:pPr>
      <w:r>
        <w:t>In addition there is evidence of relationships and joint working between the different Social Prescribing projects and stakeholders. For example, feedback from the Mid Essex project highlighted that CVSs meet regularly</w:t>
      </w:r>
      <w:r w:rsidRPr="00C07358">
        <w:t xml:space="preserve"> in Mid and Colchester. </w:t>
      </w:r>
      <w:r>
        <w:t xml:space="preserve">Moreover, </w:t>
      </w:r>
      <w:r w:rsidRPr="00C07358">
        <w:t xml:space="preserve">CVSs across Essex have a formal network and there is a national network where CVSs and VCS from all parts of the country have the opportunity to share learning by </w:t>
      </w:r>
      <w:r>
        <w:t>C</w:t>
      </w:r>
      <w:r w:rsidR="00771CC1">
        <w:t xml:space="preserve">OIN network and at conference. </w:t>
      </w:r>
    </w:p>
    <w:p w14:paraId="0A410580" w14:textId="77777777" w:rsidR="002908E4" w:rsidRDefault="002908E4" w:rsidP="002908E4">
      <w:pPr>
        <w:pStyle w:val="BodyText-italics"/>
      </w:pPr>
      <w:r>
        <w:t>Example</w:t>
      </w:r>
      <w:r w:rsidR="0068064D">
        <w:t>s</w:t>
      </w:r>
      <w:r>
        <w:t xml:space="preserve"> of learning that has been shared / gained by the project includes: </w:t>
      </w:r>
    </w:p>
    <w:p w14:paraId="7B7CC8DA" w14:textId="77777777" w:rsidR="002908E4" w:rsidRDefault="002908E4" w:rsidP="00D53262">
      <w:pPr>
        <w:pStyle w:val="ListParagraph"/>
        <w:numPr>
          <w:ilvl w:val="0"/>
          <w:numId w:val="9"/>
        </w:numPr>
        <w:rPr>
          <w:rFonts w:ascii="Calibri" w:eastAsiaTheme="minorHAnsi" w:hAnsi="Calibri" w:cs="Times New Roman"/>
        </w:rPr>
      </w:pPr>
      <w:r>
        <w:t>Engaging in the social prescribing network has been useful to assess how other areas models vary and where there may be learning from that, for example the Castle Point and Rochford project is currently working on dedicated time in GP surgeries to increase the referrals from GPs</w:t>
      </w:r>
      <w:r w:rsidR="006F7C5E">
        <w:t>;</w:t>
      </w:r>
    </w:p>
    <w:p w14:paraId="7D324CBA" w14:textId="77777777" w:rsidR="002908E4" w:rsidRDefault="002908E4" w:rsidP="00D53262">
      <w:pPr>
        <w:pStyle w:val="ListParagraph"/>
        <w:numPr>
          <w:ilvl w:val="0"/>
          <w:numId w:val="9"/>
        </w:numPr>
      </w:pPr>
      <w:r>
        <w:t>Engagement with relevant partners in the community to encourage partnership working and cross referral across schemes</w:t>
      </w:r>
      <w:r w:rsidR="006F7C5E">
        <w:t>; and</w:t>
      </w:r>
    </w:p>
    <w:p w14:paraId="0DB66D64" w14:textId="77777777" w:rsidR="00D315F9" w:rsidRDefault="002908E4" w:rsidP="00D53262">
      <w:pPr>
        <w:pStyle w:val="ListParagraph"/>
        <w:numPr>
          <w:ilvl w:val="0"/>
          <w:numId w:val="9"/>
        </w:numPr>
      </w:pPr>
      <w:r>
        <w:t>Feedback project staff highlighted that through their Social Prescribing project they have identified more sources of support from community groups that they would not have otherwise known about however identify when looking for the most appropriate client support</w:t>
      </w:r>
      <w:r w:rsidR="006F7C5E">
        <w:t>.</w:t>
      </w:r>
    </w:p>
    <w:p w14:paraId="2A8F4582" w14:textId="0A6658B7" w:rsidR="00D315F9" w:rsidRDefault="00D315F9" w:rsidP="00D315F9">
      <w:pPr>
        <w:pStyle w:val="Heading2"/>
      </w:pPr>
      <w:bookmarkStart w:id="58" w:name="_Toc497934288"/>
      <w:r>
        <w:t>Conclusion</w:t>
      </w:r>
      <w:bookmarkEnd w:id="58"/>
      <w:r>
        <w:t xml:space="preserve"> </w:t>
      </w:r>
    </w:p>
    <w:p w14:paraId="556A5E32" w14:textId="77777777" w:rsidR="00A5378A" w:rsidRDefault="00A5378A" w:rsidP="00AE785D">
      <w:pPr>
        <w:pStyle w:val="BodyText-parastyle"/>
      </w:pPr>
      <w:r>
        <w:t xml:space="preserve">Interviews with key stakeholders for each project highlighted a number of key findings associated with the process of delivering the projects as well as the impacts being achieved. These include: </w:t>
      </w:r>
    </w:p>
    <w:p w14:paraId="6CAC996D" w14:textId="38512313" w:rsidR="00BA359A" w:rsidRDefault="001C59FF" w:rsidP="00AE785D">
      <w:pPr>
        <w:pStyle w:val="BodyText-parastyle"/>
      </w:pPr>
      <w:r w:rsidRPr="007E2464">
        <w:rPr>
          <w:color w:val="00B0F0"/>
        </w:rPr>
        <w:t xml:space="preserve">GP referrals </w:t>
      </w:r>
      <w:r>
        <w:t xml:space="preserve">– getting GPs / primary care to make referrals has been an issue across each of the projects however this has had a greater impact on those that have GP practices as their main source of referrals. This has also been </w:t>
      </w:r>
      <w:r w:rsidR="00BA359A">
        <w:t>identified in other research / ev</w:t>
      </w:r>
      <w:r w:rsidR="00E914A3">
        <w:t>aluations and a recent report</w:t>
      </w:r>
      <w:r w:rsidR="007E2464">
        <w:rPr>
          <w:rStyle w:val="FootnoteReference"/>
        </w:rPr>
        <w:footnoteReference w:id="90"/>
      </w:r>
      <w:r w:rsidR="00BA359A">
        <w:t xml:space="preserve"> noted that all primary care servic</w:t>
      </w:r>
      <w:r>
        <w:t>es (i.e. not just the GP) need</w:t>
      </w:r>
      <w:r w:rsidR="00BA359A">
        <w:t xml:space="preserve"> to support and encourage patients to engage with Social Prescribing </w:t>
      </w:r>
      <w:r>
        <w:t>‘</w:t>
      </w:r>
      <w:r w:rsidR="00E914A3">
        <w:rPr>
          <w:i/>
        </w:rPr>
        <w:t>so that the patient [i</w:t>
      </w:r>
      <w:r w:rsidR="00BA359A" w:rsidRPr="001C59FF">
        <w:rPr>
          <w:i/>
        </w:rPr>
        <w:t>s</w:t>
      </w:r>
      <w:r w:rsidR="00E914A3">
        <w:rPr>
          <w:i/>
        </w:rPr>
        <w:t>]</w:t>
      </w:r>
      <w:r w:rsidR="00BA359A" w:rsidRPr="001C59FF">
        <w:rPr>
          <w:i/>
        </w:rPr>
        <w:t xml:space="preserve"> in no doubt of its importance as an alternative source of support</w:t>
      </w:r>
      <w:r w:rsidR="00BA359A">
        <w:t>.’</w:t>
      </w:r>
    </w:p>
    <w:p w14:paraId="3486CEB4" w14:textId="77777777" w:rsidR="00BA359A" w:rsidRDefault="001C59FF" w:rsidP="00AE785D">
      <w:pPr>
        <w:pStyle w:val="BodyText-parastyle"/>
      </w:pPr>
      <w:r w:rsidRPr="007E2464">
        <w:rPr>
          <w:color w:val="00B0F0"/>
        </w:rPr>
        <w:t xml:space="preserve">Development and maintenance of relationships </w:t>
      </w:r>
      <w:r>
        <w:t>-</w:t>
      </w:r>
      <w:r w:rsidR="007E2464">
        <w:t xml:space="preserve"> </w:t>
      </w:r>
      <w:r w:rsidR="00BA359A">
        <w:t xml:space="preserve">stakeholders highlighted that all models rely </w:t>
      </w:r>
      <w:r>
        <w:t>on the skills / attributes of those</w:t>
      </w:r>
      <w:r w:rsidR="00BA359A">
        <w:t xml:space="preserve"> involved </w:t>
      </w:r>
      <w:r w:rsidR="007E2464">
        <w:t>and that</w:t>
      </w:r>
      <w:r w:rsidR="00BA359A">
        <w:t xml:space="preserve"> </w:t>
      </w:r>
      <w:r w:rsidR="00BA359A" w:rsidRPr="00BA359A">
        <w:t>relationships</w:t>
      </w:r>
      <w:r w:rsidR="00BA359A">
        <w:t>,</w:t>
      </w:r>
      <w:r w:rsidR="00BA359A" w:rsidRPr="00BA359A">
        <w:t xml:space="preserve"> </w:t>
      </w:r>
      <w:r w:rsidR="00BA359A">
        <w:t xml:space="preserve">collaboration and </w:t>
      </w:r>
      <w:r w:rsidR="00BA359A" w:rsidRPr="00BA359A">
        <w:t>commitment of core stakeholder organisations</w:t>
      </w:r>
      <w:r w:rsidR="007E2464">
        <w:t xml:space="preserve"> is fundamental for success</w:t>
      </w:r>
      <w:r w:rsidR="00BA359A">
        <w:t xml:space="preserve">. </w:t>
      </w:r>
    </w:p>
    <w:p w14:paraId="32B49CA5" w14:textId="77777777" w:rsidR="001C59FF" w:rsidRDefault="001C59FF" w:rsidP="00AE785D">
      <w:pPr>
        <w:pStyle w:val="BodyText-parastyle"/>
      </w:pPr>
      <w:r w:rsidRPr="007E2464">
        <w:rPr>
          <w:color w:val="00B0F0"/>
        </w:rPr>
        <w:t>Flexibility</w:t>
      </w:r>
      <w:r>
        <w:t xml:space="preserve"> – consultees noted t</w:t>
      </w:r>
      <w:r w:rsidR="007E2464">
        <w:t>hat flexibility</w:t>
      </w:r>
      <w:r>
        <w:t xml:space="preserve"> was important in the referral process as well </w:t>
      </w:r>
      <w:r w:rsidR="00CE3C14">
        <w:t xml:space="preserve">was </w:t>
      </w:r>
      <w:r w:rsidR="007E2464">
        <w:t>as</w:t>
      </w:r>
      <w:r>
        <w:t xml:space="preserve"> adapt</w:t>
      </w:r>
      <w:r w:rsidR="007E2464">
        <w:t>ing</w:t>
      </w:r>
      <w:r>
        <w:t xml:space="preserve"> </w:t>
      </w:r>
      <w:r w:rsidR="007E2464">
        <w:t>/</w:t>
      </w:r>
      <w:r>
        <w:t xml:space="preserve"> amend</w:t>
      </w:r>
      <w:r w:rsidR="007E2464">
        <w:t>ing</w:t>
      </w:r>
      <w:r>
        <w:t xml:space="preserve"> its approach to getting referrals or in meeting individual needs of service users where required</w:t>
      </w:r>
      <w:r w:rsidR="007E2464">
        <w:t>.</w:t>
      </w:r>
      <w:r>
        <w:t xml:space="preserve">  </w:t>
      </w:r>
    </w:p>
    <w:p w14:paraId="55EA23D5" w14:textId="77777777" w:rsidR="00BA359A" w:rsidRDefault="001C59FF" w:rsidP="00AE785D">
      <w:pPr>
        <w:pStyle w:val="BodyText-parastyle"/>
      </w:pPr>
      <w:r w:rsidRPr="007E2464">
        <w:rPr>
          <w:color w:val="00B0F0"/>
        </w:rPr>
        <w:t xml:space="preserve">Impact on </w:t>
      </w:r>
      <w:r w:rsidR="007E2464">
        <w:rPr>
          <w:color w:val="00B0F0"/>
        </w:rPr>
        <w:t xml:space="preserve">primary / secondary care </w:t>
      </w:r>
      <w:r>
        <w:t xml:space="preserve">– consultees </w:t>
      </w:r>
      <w:r w:rsidR="007E2464">
        <w:t>believed</w:t>
      </w:r>
      <w:r>
        <w:t xml:space="preserve"> that the project</w:t>
      </w:r>
      <w:r w:rsidR="007E2464">
        <w:t>s have helped to reduce in</w:t>
      </w:r>
      <w:r>
        <w:t>appropriate use of primary and secondary service</w:t>
      </w:r>
      <w:r w:rsidR="007E2464">
        <w:t>s</w:t>
      </w:r>
      <w:r>
        <w:t xml:space="preserve"> by supporting people to manage their own condition</w:t>
      </w:r>
      <w:r w:rsidR="007E2464">
        <w:t>s</w:t>
      </w:r>
      <w:r>
        <w:t xml:space="preserve"> (where appropriate) and </w:t>
      </w:r>
      <w:r w:rsidR="007E2464">
        <w:t xml:space="preserve">by </w:t>
      </w:r>
      <w:r>
        <w:t>act</w:t>
      </w:r>
      <w:r w:rsidR="007E2464">
        <w:t>ing</w:t>
      </w:r>
      <w:r>
        <w:t xml:space="preserve"> as an effective conduit to the most suitable form of support</w:t>
      </w:r>
      <w:r w:rsidR="007E2464">
        <w:t>. It was suggested that this was ‘filling a niche in the market’</w:t>
      </w:r>
      <w:r w:rsidR="007E2464" w:rsidRPr="007E2464">
        <w:t xml:space="preserve"> </w:t>
      </w:r>
      <w:r w:rsidR="007E2464">
        <w:t>as</w:t>
      </w:r>
      <w:r w:rsidR="007E2464" w:rsidRPr="007E2464">
        <w:t xml:space="preserve"> without Social Prescribing</w:t>
      </w:r>
      <w:r w:rsidR="00C144F0">
        <w:t>,</w:t>
      </w:r>
      <w:r w:rsidR="007E2464" w:rsidRPr="007E2464">
        <w:t xml:space="preserve"> GPs / other referring organisations or individuals would not have the knowledge to signpost those in need of support to the most appropriate organisation.</w:t>
      </w:r>
    </w:p>
    <w:p w14:paraId="126D7D92" w14:textId="77777777" w:rsidR="001C59FF" w:rsidRDefault="007E2464" w:rsidP="00AE785D">
      <w:pPr>
        <w:pStyle w:val="BodyText-parastyle"/>
      </w:pPr>
      <w:r w:rsidRPr="007E2464">
        <w:rPr>
          <w:color w:val="00B0F0"/>
        </w:rPr>
        <w:t>Impact on service users</w:t>
      </w:r>
      <w:r>
        <w:rPr>
          <w:color w:val="00B0F0"/>
        </w:rPr>
        <w:t xml:space="preserve"> </w:t>
      </w:r>
      <w:r w:rsidR="006B4B17">
        <w:t>–</w:t>
      </w:r>
      <w:r w:rsidRPr="007E2464">
        <w:t xml:space="preserve"> </w:t>
      </w:r>
      <w:r w:rsidR="006B4B17">
        <w:t xml:space="preserve">some </w:t>
      </w:r>
      <w:r>
        <w:t xml:space="preserve">consultees had limited knowledge of the impact on service users </w:t>
      </w:r>
      <w:r w:rsidR="006B4B17">
        <w:t>howeve</w:t>
      </w:r>
      <w:r>
        <w:t>r</w:t>
      </w:r>
      <w:r w:rsidR="006B4B17">
        <w:t xml:space="preserve"> those that were able to comment felt that the Social Prescribing projects have provided tailored support to address individual needs.</w:t>
      </w:r>
    </w:p>
    <w:p w14:paraId="0D76FFB1" w14:textId="77777777" w:rsidR="001C59FF" w:rsidRDefault="001C59FF" w:rsidP="00AE785D">
      <w:pPr>
        <w:pStyle w:val="BodyText-parastyle"/>
      </w:pPr>
    </w:p>
    <w:p w14:paraId="293BDEE0" w14:textId="77777777" w:rsidR="001C59FF" w:rsidRDefault="001C59FF" w:rsidP="00AE785D">
      <w:pPr>
        <w:pStyle w:val="BodyText-parastyle"/>
      </w:pPr>
    </w:p>
    <w:p w14:paraId="78E20C57" w14:textId="77777777" w:rsidR="001C59FF" w:rsidRDefault="001C59FF" w:rsidP="00AE785D">
      <w:pPr>
        <w:pStyle w:val="BodyText-parastyle"/>
      </w:pPr>
    </w:p>
    <w:p w14:paraId="13006510" w14:textId="116EA88D" w:rsidR="00DC7AFE" w:rsidRDefault="00DC7AFE" w:rsidP="00DC7AFE">
      <w:pPr>
        <w:pStyle w:val="Heading1"/>
      </w:pPr>
      <w:bookmarkStart w:id="59" w:name="_Toc497934289"/>
      <w:r>
        <w:t>Costs / Cost Avoidance</w:t>
      </w:r>
      <w:r w:rsidR="00603E87">
        <w:t xml:space="preserve"> and Cost Effectiveness</w:t>
      </w:r>
      <w:bookmarkEnd w:id="59"/>
      <w:r w:rsidR="00603E87">
        <w:t xml:space="preserve"> </w:t>
      </w:r>
    </w:p>
    <w:p w14:paraId="1131C93E" w14:textId="77777777" w:rsidR="00DC7AFE" w:rsidRDefault="00DC7AFE" w:rsidP="00DC7AFE">
      <w:pPr>
        <w:pStyle w:val="Heading2"/>
      </w:pPr>
      <w:bookmarkStart w:id="60" w:name="_Toc497934290"/>
      <w:r>
        <w:t>Introduction</w:t>
      </w:r>
      <w:bookmarkEnd w:id="60"/>
      <w:r>
        <w:t xml:space="preserve"> </w:t>
      </w:r>
    </w:p>
    <w:p w14:paraId="2D062FD8" w14:textId="51E8CF14" w:rsidR="009F3F52" w:rsidRPr="009F3F52" w:rsidRDefault="00AD0525" w:rsidP="00AE785D">
      <w:pPr>
        <w:pStyle w:val="BodyText-parastyle"/>
      </w:pPr>
      <w:r w:rsidRPr="004B6F9E">
        <w:t>This section summarises the financial performance of the Project ag</w:t>
      </w:r>
      <w:r>
        <w:t xml:space="preserve">ainst its budget, the value for money achieved and </w:t>
      </w:r>
      <w:r w:rsidR="00E914A3">
        <w:t xml:space="preserve">assessment of cost avoidance.  </w:t>
      </w:r>
    </w:p>
    <w:p w14:paraId="61664529" w14:textId="72C0BD61" w:rsidR="00AD0525" w:rsidRDefault="00AD0525" w:rsidP="00AD0525">
      <w:pPr>
        <w:pStyle w:val="Heading2"/>
        <w:numPr>
          <w:ilvl w:val="1"/>
          <w:numId w:val="1"/>
        </w:numPr>
        <w:ind w:left="709" w:hanging="709"/>
      </w:pPr>
      <w:bookmarkStart w:id="61" w:name="_Toc497934291"/>
      <w:r w:rsidRPr="00EE1296">
        <w:t>Project Budget / Spend</w:t>
      </w:r>
      <w:bookmarkEnd w:id="61"/>
    </w:p>
    <w:p w14:paraId="2B7831FA" w14:textId="6EB7865C" w:rsidR="00AD0525" w:rsidRDefault="00477DC1" w:rsidP="00AE785D">
      <w:pPr>
        <w:pStyle w:val="BodyText-parastyle"/>
      </w:pPr>
      <w:r>
        <w:t xml:space="preserve">Table </w:t>
      </w:r>
      <w:r w:rsidR="004B7FF5">
        <w:t>8</w:t>
      </w:r>
      <w:r>
        <w:t>.</w:t>
      </w:r>
      <w:r w:rsidR="002A5904">
        <w:t>1</w:t>
      </w:r>
      <w:r>
        <w:t xml:space="preserve"> outlines the overall expenditure against the budget for the period 2015/16 – 2016/17</w:t>
      </w:r>
      <w:r w:rsidR="002A5904">
        <w:t>.</w:t>
      </w:r>
    </w:p>
    <w:p w14:paraId="3D2215DE" w14:textId="3A991A5D" w:rsidR="00D81224" w:rsidRDefault="00D81224"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w:t>
      </w:r>
      <w:r w:rsidR="00603E87">
        <w:fldChar w:fldCharType="end"/>
      </w:r>
      <w:r>
        <w:t xml:space="preserve">: Expenditure against Pro Rata Funding </w:t>
      </w:r>
      <w:r w:rsidR="002A5904">
        <w:t>(</w:t>
      </w:r>
      <w:r>
        <w:t>2015/16 – 2016/17</w:t>
      </w:r>
      <w:r w:rsidR="002A5904">
        <w:t>)</w:t>
      </w:r>
    </w:p>
    <w:tbl>
      <w:tblPr>
        <w:tblStyle w:val="ForfasTableGrid1"/>
        <w:tblW w:w="0" w:type="auto"/>
        <w:tblLook w:val="04A0" w:firstRow="1" w:lastRow="0" w:firstColumn="1" w:lastColumn="0" w:noHBand="0" w:noVBand="1"/>
      </w:tblPr>
      <w:tblGrid>
        <w:gridCol w:w="2806"/>
        <w:gridCol w:w="2416"/>
        <w:gridCol w:w="2388"/>
        <w:gridCol w:w="2159"/>
      </w:tblGrid>
      <w:tr w:rsidR="00D81224" w14:paraId="2C0C5832" w14:textId="77777777" w:rsidTr="00FB239D">
        <w:trPr>
          <w:cnfStyle w:val="100000000000" w:firstRow="1" w:lastRow="0" w:firstColumn="0" w:lastColumn="0" w:oddVBand="0" w:evenVBand="0" w:oddHBand="0" w:evenHBand="0" w:firstRowFirstColumn="0" w:firstRowLastColumn="0" w:lastRowFirstColumn="0" w:lastRowLastColumn="0"/>
          <w:tblHeader/>
        </w:trPr>
        <w:tc>
          <w:tcPr>
            <w:tcW w:w="2806" w:type="dxa"/>
          </w:tcPr>
          <w:p w14:paraId="5FADBB84" w14:textId="77777777" w:rsidR="00D81224" w:rsidRDefault="00D81224" w:rsidP="00D81224">
            <w:pPr>
              <w:pStyle w:val="TableHeading"/>
            </w:pPr>
            <w:r>
              <w:t xml:space="preserve">Locality </w:t>
            </w:r>
          </w:p>
        </w:tc>
        <w:tc>
          <w:tcPr>
            <w:tcW w:w="2416" w:type="dxa"/>
          </w:tcPr>
          <w:p w14:paraId="26FF96F0" w14:textId="77777777" w:rsidR="00D81224" w:rsidRDefault="00D81224" w:rsidP="00D81224">
            <w:pPr>
              <w:pStyle w:val="TableHeading"/>
            </w:pPr>
            <w:r>
              <w:t>Funding (£)</w:t>
            </w:r>
          </w:p>
        </w:tc>
        <w:tc>
          <w:tcPr>
            <w:tcW w:w="2388" w:type="dxa"/>
          </w:tcPr>
          <w:p w14:paraId="364E42D0" w14:textId="77777777" w:rsidR="00D81224" w:rsidRDefault="00D81224" w:rsidP="00D81224">
            <w:pPr>
              <w:pStyle w:val="TableHeading"/>
            </w:pPr>
            <w:r>
              <w:t xml:space="preserve">Expenditure </w:t>
            </w:r>
          </w:p>
        </w:tc>
        <w:tc>
          <w:tcPr>
            <w:tcW w:w="2159" w:type="dxa"/>
          </w:tcPr>
          <w:p w14:paraId="7366064B" w14:textId="77777777" w:rsidR="00D81224" w:rsidRDefault="00D81224" w:rsidP="00D81224">
            <w:pPr>
              <w:pStyle w:val="TableHeading"/>
            </w:pPr>
            <w:r>
              <w:t xml:space="preserve">Variance </w:t>
            </w:r>
          </w:p>
        </w:tc>
      </w:tr>
      <w:tr w:rsidR="0051418C" w14:paraId="3A133A09" w14:textId="77777777" w:rsidTr="00B22398">
        <w:trPr>
          <w:cnfStyle w:val="000000100000" w:firstRow="0" w:lastRow="0" w:firstColumn="0" w:lastColumn="0" w:oddVBand="0" w:evenVBand="0" w:oddHBand="1" w:evenHBand="0" w:firstRowFirstColumn="0" w:firstRowLastColumn="0" w:lastRowFirstColumn="0" w:lastRowLastColumn="0"/>
        </w:trPr>
        <w:tc>
          <w:tcPr>
            <w:tcW w:w="2806" w:type="dxa"/>
          </w:tcPr>
          <w:p w14:paraId="70A02DD5" w14:textId="77777777" w:rsidR="0051418C" w:rsidRDefault="0051418C" w:rsidP="0051418C">
            <w:pPr>
              <w:pStyle w:val="TableParagraph"/>
            </w:pPr>
            <w:r>
              <w:t xml:space="preserve">Basildon and Brentwood </w:t>
            </w:r>
          </w:p>
        </w:tc>
        <w:tc>
          <w:tcPr>
            <w:tcW w:w="2416" w:type="dxa"/>
          </w:tcPr>
          <w:p w14:paraId="4C0B4302" w14:textId="45CF9D69" w:rsidR="0051418C" w:rsidRDefault="0051418C" w:rsidP="0051418C">
            <w:pPr>
              <w:pStyle w:val="TableParagraph"/>
              <w:jc w:val="right"/>
            </w:pPr>
            <w:r w:rsidRPr="007F5D83">
              <w:t>£155,040</w:t>
            </w:r>
          </w:p>
        </w:tc>
        <w:tc>
          <w:tcPr>
            <w:tcW w:w="2388" w:type="dxa"/>
          </w:tcPr>
          <w:p w14:paraId="67167CAA" w14:textId="6CBD99CB" w:rsidR="0051418C" w:rsidRDefault="0051418C" w:rsidP="0051418C">
            <w:pPr>
              <w:pStyle w:val="TableParagraph"/>
              <w:jc w:val="right"/>
            </w:pPr>
            <w:r w:rsidRPr="007F5D83">
              <w:t>£112,575</w:t>
            </w:r>
          </w:p>
        </w:tc>
        <w:tc>
          <w:tcPr>
            <w:tcW w:w="2159" w:type="dxa"/>
          </w:tcPr>
          <w:p w14:paraId="64B976E6" w14:textId="6C8EA8C0" w:rsidR="0051418C" w:rsidRDefault="0051418C" w:rsidP="0051418C">
            <w:pPr>
              <w:pStyle w:val="TableParagraph"/>
              <w:jc w:val="right"/>
            </w:pPr>
            <w:r w:rsidRPr="007F5D83">
              <w:t>-£42,465</w:t>
            </w:r>
          </w:p>
        </w:tc>
      </w:tr>
      <w:tr w:rsidR="0051418C" w14:paraId="3C4C1E39" w14:textId="77777777" w:rsidTr="00B22398">
        <w:trPr>
          <w:cnfStyle w:val="000000010000" w:firstRow="0" w:lastRow="0" w:firstColumn="0" w:lastColumn="0" w:oddVBand="0" w:evenVBand="0" w:oddHBand="0" w:evenHBand="1" w:firstRowFirstColumn="0" w:firstRowLastColumn="0" w:lastRowFirstColumn="0" w:lastRowLastColumn="0"/>
        </w:trPr>
        <w:tc>
          <w:tcPr>
            <w:tcW w:w="2806" w:type="dxa"/>
          </w:tcPr>
          <w:p w14:paraId="0EA63501" w14:textId="77777777" w:rsidR="0051418C" w:rsidRDefault="0051418C" w:rsidP="0051418C">
            <w:pPr>
              <w:pStyle w:val="TableParagraph"/>
            </w:pPr>
            <w:r w:rsidRPr="00EE0896">
              <w:t>Castle Point and Rochford</w:t>
            </w:r>
          </w:p>
        </w:tc>
        <w:tc>
          <w:tcPr>
            <w:tcW w:w="2416" w:type="dxa"/>
          </w:tcPr>
          <w:p w14:paraId="194C10A7" w14:textId="107B146D" w:rsidR="0051418C" w:rsidRDefault="0051418C" w:rsidP="0051418C">
            <w:pPr>
              <w:pStyle w:val="TableParagraph"/>
              <w:jc w:val="right"/>
            </w:pPr>
            <w:r w:rsidRPr="007F5D83">
              <w:t>£90,417</w:t>
            </w:r>
          </w:p>
        </w:tc>
        <w:tc>
          <w:tcPr>
            <w:tcW w:w="2388" w:type="dxa"/>
          </w:tcPr>
          <w:p w14:paraId="16278D5E" w14:textId="7ED43E02" w:rsidR="0051418C" w:rsidRPr="00403DB7" w:rsidRDefault="0051418C" w:rsidP="0051418C">
            <w:pPr>
              <w:pStyle w:val="TableParagraph"/>
              <w:jc w:val="right"/>
            </w:pPr>
            <w:r w:rsidRPr="007F5D83">
              <w:t>£73,130.70</w:t>
            </w:r>
          </w:p>
        </w:tc>
        <w:tc>
          <w:tcPr>
            <w:tcW w:w="2159" w:type="dxa"/>
          </w:tcPr>
          <w:p w14:paraId="0667198E" w14:textId="72D70DB0" w:rsidR="0051418C" w:rsidRPr="00403DB7" w:rsidRDefault="0051418C" w:rsidP="0051418C">
            <w:pPr>
              <w:pStyle w:val="TableParagraph"/>
              <w:jc w:val="right"/>
            </w:pPr>
            <w:r w:rsidRPr="007F5D83">
              <w:t>-£17,286</w:t>
            </w:r>
          </w:p>
        </w:tc>
      </w:tr>
      <w:tr w:rsidR="00CC4581" w14:paraId="79F1F922" w14:textId="77777777" w:rsidTr="00B22398">
        <w:trPr>
          <w:cnfStyle w:val="000000100000" w:firstRow="0" w:lastRow="0" w:firstColumn="0" w:lastColumn="0" w:oddVBand="0" w:evenVBand="0" w:oddHBand="1" w:evenHBand="0" w:firstRowFirstColumn="0" w:firstRowLastColumn="0" w:lastRowFirstColumn="0" w:lastRowLastColumn="0"/>
        </w:trPr>
        <w:tc>
          <w:tcPr>
            <w:tcW w:w="2806" w:type="dxa"/>
          </w:tcPr>
          <w:p w14:paraId="700E8477" w14:textId="772EF841" w:rsidR="005B12AF" w:rsidRDefault="00CC4581" w:rsidP="005B12AF">
            <w:pPr>
              <w:pStyle w:val="CommentText"/>
            </w:pPr>
            <w:r w:rsidRPr="00EE0896">
              <w:t>Mid Essex</w:t>
            </w:r>
          </w:p>
          <w:p w14:paraId="4F304F0B" w14:textId="77777777" w:rsidR="00CC4581" w:rsidRDefault="00CC4581" w:rsidP="00CC4581">
            <w:pPr>
              <w:pStyle w:val="TableParagraph"/>
            </w:pPr>
          </w:p>
        </w:tc>
        <w:tc>
          <w:tcPr>
            <w:tcW w:w="2416" w:type="dxa"/>
          </w:tcPr>
          <w:p w14:paraId="737B451C" w14:textId="0830D676" w:rsidR="002A5904" w:rsidRDefault="002A5904" w:rsidP="00CC4581">
            <w:pPr>
              <w:pStyle w:val="TableParagraph"/>
              <w:jc w:val="right"/>
            </w:pPr>
            <w:r w:rsidRPr="002A5904">
              <w:t>£</w:t>
            </w:r>
            <w:r w:rsidR="00D465F1" w:rsidRPr="00D465F1">
              <w:t>286,485</w:t>
            </w:r>
            <w:r w:rsidRPr="002A5904">
              <w:t xml:space="preserve"> </w:t>
            </w:r>
          </w:p>
          <w:p w14:paraId="0B5526C6" w14:textId="5B173031" w:rsidR="00CC4581" w:rsidRDefault="00AE6F40" w:rsidP="00CC4581">
            <w:pPr>
              <w:pStyle w:val="TableParagraph"/>
              <w:jc w:val="right"/>
            </w:pPr>
            <w:r>
              <w:t xml:space="preserve">(includes </w:t>
            </w:r>
            <w:r w:rsidRPr="00665473">
              <w:t>ECC commissioning funds for Provide to supply Level 2 conversations</w:t>
            </w:r>
            <w:r>
              <w:t>)</w:t>
            </w:r>
          </w:p>
        </w:tc>
        <w:tc>
          <w:tcPr>
            <w:tcW w:w="2388" w:type="dxa"/>
          </w:tcPr>
          <w:p w14:paraId="0AC0BDF8" w14:textId="52775EEA" w:rsidR="002A5904" w:rsidRDefault="002A5904" w:rsidP="005B12AF">
            <w:pPr>
              <w:pStyle w:val="TableParagraph"/>
              <w:jc w:val="right"/>
            </w:pPr>
            <w:r>
              <w:t>£</w:t>
            </w:r>
            <w:r w:rsidRPr="002A5904">
              <w:t>217,593</w:t>
            </w:r>
          </w:p>
          <w:p w14:paraId="5CBD423C" w14:textId="23641B48" w:rsidR="00CC4581" w:rsidRPr="00403DB7" w:rsidRDefault="002A5904" w:rsidP="005B12AF">
            <w:pPr>
              <w:pStyle w:val="TableParagraph"/>
              <w:jc w:val="right"/>
            </w:pPr>
            <w:r>
              <w:t>(</w:t>
            </w:r>
            <w:r w:rsidR="00277805">
              <w:t xml:space="preserve">includes </w:t>
            </w:r>
            <w:r w:rsidR="00277805" w:rsidRPr="00665473">
              <w:t>ECC commissioning funds for Provide to supply Level 2 conversations</w:t>
            </w:r>
            <w:r w:rsidR="00277805">
              <w:t>)</w:t>
            </w:r>
          </w:p>
        </w:tc>
        <w:tc>
          <w:tcPr>
            <w:tcW w:w="2159" w:type="dxa"/>
          </w:tcPr>
          <w:p w14:paraId="63A2DC80" w14:textId="1B901DF7" w:rsidR="00CC4581" w:rsidRPr="00403DB7" w:rsidRDefault="007A2A55" w:rsidP="00CC4581">
            <w:pPr>
              <w:pStyle w:val="TableParagraph"/>
              <w:jc w:val="right"/>
            </w:pPr>
            <w:r>
              <w:t>-£</w:t>
            </w:r>
            <w:r w:rsidRPr="007A2A55">
              <w:t>68,892</w:t>
            </w:r>
          </w:p>
        </w:tc>
      </w:tr>
      <w:tr w:rsidR="00CC4581" w14:paraId="3C1667F7" w14:textId="77777777" w:rsidTr="00B22398">
        <w:trPr>
          <w:cnfStyle w:val="000000010000" w:firstRow="0" w:lastRow="0" w:firstColumn="0" w:lastColumn="0" w:oddVBand="0" w:evenVBand="0" w:oddHBand="0" w:evenHBand="1" w:firstRowFirstColumn="0" w:firstRowLastColumn="0" w:lastRowFirstColumn="0" w:lastRowLastColumn="0"/>
        </w:trPr>
        <w:tc>
          <w:tcPr>
            <w:tcW w:w="2806" w:type="dxa"/>
          </w:tcPr>
          <w:p w14:paraId="52EF7700" w14:textId="77777777" w:rsidR="00CC4581" w:rsidRDefault="00CC4581" w:rsidP="00CC4581">
            <w:pPr>
              <w:pStyle w:val="TableParagraph"/>
            </w:pPr>
            <w:r w:rsidRPr="00EE0896">
              <w:t>NE Essex – Colchester</w:t>
            </w:r>
          </w:p>
        </w:tc>
        <w:tc>
          <w:tcPr>
            <w:tcW w:w="2416" w:type="dxa"/>
          </w:tcPr>
          <w:p w14:paraId="47B51956" w14:textId="09CF0C51" w:rsidR="00CC4581" w:rsidRDefault="00CC4581" w:rsidP="002A5904">
            <w:pPr>
              <w:pStyle w:val="TableParagraph"/>
              <w:jc w:val="right"/>
            </w:pPr>
            <w:r w:rsidRPr="00C80BF2">
              <w:t>£15</w:t>
            </w:r>
            <w:r w:rsidR="002A5904">
              <w:t>9</w:t>
            </w:r>
            <w:r w:rsidRPr="00C80BF2">
              <w:t>,000</w:t>
            </w:r>
          </w:p>
        </w:tc>
        <w:tc>
          <w:tcPr>
            <w:tcW w:w="2388" w:type="dxa"/>
          </w:tcPr>
          <w:p w14:paraId="0999C605" w14:textId="77777777" w:rsidR="00CC4581" w:rsidRPr="00403DB7" w:rsidRDefault="00CC4581" w:rsidP="00CC4581">
            <w:pPr>
              <w:pStyle w:val="TableParagraph"/>
              <w:jc w:val="right"/>
            </w:pPr>
            <w:r w:rsidRPr="00C80BF2">
              <w:t>£159,000</w:t>
            </w:r>
          </w:p>
        </w:tc>
        <w:tc>
          <w:tcPr>
            <w:tcW w:w="2159" w:type="dxa"/>
          </w:tcPr>
          <w:p w14:paraId="6B4E761F" w14:textId="24F5AA25" w:rsidR="00CC4581" w:rsidRPr="00403DB7" w:rsidRDefault="00CC4581" w:rsidP="002A5904">
            <w:pPr>
              <w:pStyle w:val="TableParagraph"/>
              <w:jc w:val="right"/>
            </w:pPr>
            <w:r w:rsidRPr="007E0849">
              <w:t>£</w:t>
            </w:r>
            <w:r w:rsidR="002A5904">
              <w:t>0</w:t>
            </w:r>
          </w:p>
        </w:tc>
      </w:tr>
      <w:tr w:rsidR="00CC4581" w14:paraId="4E0A0361" w14:textId="77777777" w:rsidTr="00B22398">
        <w:trPr>
          <w:cnfStyle w:val="000000100000" w:firstRow="0" w:lastRow="0" w:firstColumn="0" w:lastColumn="0" w:oddVBand="0" w:evenVBand="0" w:oddHBand="1" w:evenHBand="0" w:firstRowFirstColumn="0" w:firstRowLastColumn="0" w:lastRowFirstColumn="0" w:lastRowLastColumn="0"/>
        </w:trPr>
        <w:tc>
          <w:tcPr>
            <w:tcW w:w="2806" w:type="dxa"/>
          </w:tcPr>
          <w:p w14:paraId="429F4D5D" w14:textId="77777777" w:rsidR="00CC4581" w:rsidRPr="00EE0896" w:rsidRDefault="00CC4581" w:rsidP="00CC4581">
            <w:pPr>
              <w:pStyle w:val="TableParagraph"/>
            </w:pPr>
            <w:r w:rsidRPr="00EE0896">
              <w:t xml:space="preserve">NE Essex – </w:t>
            </w:r>
            <w:r>
              <w:t>Tendring</w:t>
            </w:r>
          </w:p>
        </w:tc>
        <w:tc>
          <w:tcPr>
            <w:tcW w:w="2416" w:type="dxa"/>
          </w:tcPr>
          <w:p w14:paraId="7467D26E" w14:textId="7F8D1D3D" w:rsidR="00CC4581" w:rsidRPr="00403DB7" w:rsidRDefault="00CC4581" w:rsidP="00CC4581">
            <w:pPr>
              <w:pStyle w:val="TableParagraph"/>
              <w:jc w:val="right"/>
            </w:pPr>
            <w:r w:rsidRPr="00C80BF2">
              <w:t>£2</w:t>
            </w:r>
            <w:r w:rsidR="005B12AF">
              <w:t>00</w:t>
            </w:r>
            <w:r w:rsidRPr="00C80BF2">
              <w:t>,000</w:t>
            </w:r>
          </w:p>
        </w:tc>
        <w:tc>
          <w:tcPr>
            <w:tcW w:w="2388" w:type="dxa"/>
          </w:tcPr>
          <w:p w14:paraId="4E00CA82" w14:textId="77777777" w:rsidR="00CC4581" w:rsidRDefault="001F0FBA" w:rsidP="001F0FBA">
            <w:pPr>
              <w:pStyle w:val="TableParagraph"/>
              <w:jc w:val="right"/>
            </w:pPr>
            <w:r>
              <w:t>£199,000</w:t>
            </w:r>
          </w:p>
        </w:tc>
        <w:tc>
          <w:tcPr>
            <w:tcW w:w="2159" w:type="dxa"/>
          </w:tcPr>
          <w:p w14:paraId="0F65C382" w14:textId="696B15B2" w:rsidR="00CC4581" w:rsidRDefault="002A5904" w:rsidP="00CC4581">
            <w:pPr>
              <w:pStyle w:val="TableParagraph"/>
              <w:jc w:val="right"/>
            </w:pPr>
            <w:r>
              <w:t>£1,000</w:t>
            </w:r>
          </w:p>
        </w:tc>
      </w:tr>
      <w:tr w:rsidR="00CC4581" w14:paraId="25590646" w14:textId="77777777" w:rsidTr="00B22398">
        <w:trPr>
          <w:cnfStyle w:val="000000010000" w:firstRow="0" w:lastRow="0" w:firstColumn="0" w:lastColumn="0" w:oddVBand="0" w:evenVBand="0" w:oddHBand="0" w:evenHBand="1" w:firstRowFirstColumn="0" w:firstRowLastColumn="0" w:lastRowFirstColumn="0" w:lastRowLastColumn="0"/>
        </w:trPr>
        <w:tc>
          <w:tcPr>
            <w:tcW w:w="2806" w:type="dxa"/>
          </w:tcPr>
          <w:p w14:paraId="71308012" w14:textId="77777777" w:rsidR="00CC4581" w:rsidRDefault="00CC4581" w:rsidP="00CC4581">
            <w:pPr>
              <w:pStyle w:val="TableParagraph"/>
            </w:pPr>
            <w:r w:rsidRPr="00EE0896">
              <w:t>West Essex</w:t>
            </w:r>
          </w:p>
        </w:tc>
        <w:tc>
          <w:tcPr>
            <w:tcW w:w="2416" w:type="dxa"/>
          </w:tcPr>
          <w:p w14:paraId="6CAE1897" w14:textId="77777777" w:rsidR="00CC4581" w:rsidRDefault="00CC4581" w:rsidP="00CC4581">
            <w:pPr>
              <w:pStyle w:val="TableParagraph"/>
              <w:jc w:val="right"/>
            </w:pPr>
            <w:r w:rsidRPr="00C80BF2">
              <w:t>£230,000</w:t>
            </w:r>
          </w:p>
        </w:tc>
        <w:tc>
          <w:tcPr>
            <w:tcW w:w="2388" w:type="dxa"/>
          </w:tcPr>
          <w:p w14:paraId="6DF241FA" w14:textId="77777777" w:rsidR="00CC4581" w:rsidRPr="003F5054" w:rsidRDefault="00CC4581" w:rsidP="00CC4581">
            <w:pPr>
              <w:pStyle w:val="TableParagraph"/>
              <w:jc w:val="right"/>
              <w:rPr>
                <w:highlight w:val="yellow"/>
              </w:rPr>
            </w:pPr>
            <w:r w:rsidRPr="00C80BF2">
              <w:t>£199,776</w:t>
            </w:r>
          </w:p>
        </w:tc>
        <w:tc>
          <w:tcPr>
            <w:tcW w:w="2159" w:type="dxa"/>
          </w:tcPr>
          <w:p w14:paraId="01DA0E08" w14:textId="77777777" w:rsidR="00CC4581" w:rsidRPr="003F5054" w:rsidRDefault="00CC4581" w:rsidP="00CC4581">
            <w:pPr>
              <w:pStyle w:val="TableParagraph"/>
              <w:jc w:val="right"/>
              <w:rPr>
                <w:highlight w:val="yellow"/>
              </w:rPr>
            </w:pPr>
            <w:r w:rsidRPr="007E0849">
              <w:t>-£30,224</w:t>
            </w:r>
          </w:p>
        </w:tc>
      </w:tr>
      <w:tr w:rsidR="00CC4581" w14:paraId="7FF3217F" w14:textId="77777777" w:rsidTr="00B22398">
        <w:trPr>
          <w:cnfStyle w:val="000000100000" w:firstRow="0" w:lastRow="0" w:firstColumn="0" w:lastColumn="0" w:oddVBand="0" w:evenVBand="0" w:oddHBand="1" w:evenHBand="0" w:firstRowFirstColumn="0" w:firstRowLastColumn="0" w:lastRowFirstColumn="0" w:lastRowLastColumn="0"/>
        </w:trPr>
        <w:tc>
          <w:tcPr>
            <w:tcW w:w="2806" w:type="dxa"/>
          </w:tcPr>
          <w:p w14:paraId="63527C34" w14:textId="77777777" w:rsidR="00CC4581" w:rsidRPr="00EE0896" w:rsidRDefault="00CC4581" w:rsidP="00CC4581">
            <w:pPr>
              <w:pStyle w:val="TableParagraph"/>
            </w:pPr>
            <w:r>
              <w:t>Southend</w:t>
            </w:r>
          </w:p>
        </w:tc>
        <w:tc>
          <w:tcPr>
            <w:tcW w:w="2416" w:type="dxa"/>
          </w:tcPr>
          <w:p w14:paraId="6E73C063" w14:textId="77777777" w:rsidR="00CC4581" w:rsidRPr="004F7D99" w:rsidRDefault="009B2EC2" w:rsidP="00CC4581">
            <w:pPr>
              <w:pStyle w:val="TableParagraph"/>
              <w:jc w:val="right"/>
            </w:pPr>
            <w:r>
              <w:t>£70</w:t>
            </w:r>
            <w:r w:rsidR="00CC4581" w:rsidRPr="00C80BF2">
              <w:t>,000</w:t>
            </w:r>
          </w:p>
        </w:tc>
        <w:tc>
          <w:tcPr>
            <w:tcW w:w="2388" w:type="dxa"/>
          </w:tcPr>
          <w:p w14:paraId="69A88C93" w14:textId="77777777" w:rsidR="00CC4581" w:rsidRPr="004F7D99" w:rsidRDefault="00CC4581" w:rsidP="00CC4581">
            <w:pPr>
              <w:pStyle w:val="TableParagraph"/>
              <w:jc w:val="right"/>
            </w:pPr>
            <w:r w:rsidRPr="00C80BF2">
              <w:t>£54,000</w:t>
            </w:r>
          </w:p>
        </w:tc>
        <w:tc>
          <w:tcPr>
            <w:tcW w:w="2159" w:type="dxa"/>
          </w:tcPr>
          <w:p w14:paraId="0225D1ED" w14:textId="79F106C5" w:rsidR="00CC4581" w:rsidRPr="004F7D99" w:rsidRDefault="002A5904" w:rsidP="00CC4581">
            <w:pPr>
              <w:pStyle w:val="TableParagraph"/>
              <w:jc w:val="right"/>
            </w:pPr>
            <w:r w:rsidRPr="002A5904">
              <w:t>-£16,000</w:t>
            </w:r>
          </w:p>
        </w:tc>
      </w:tr>
      <w:tr w:rsidR="00C55319" w14:paraId="6B5E3C2D" w14:textId="77777777" w:rsidTr="00B22398">
        <w:trPr>
          <w:cnfStyle w:val="000000010000" w:firstRow="0" w:lastRow="0" w:firstColumn="0" w:lastColumn="0" w:oddVBand="0" w:evenVBand="0" w:oddHBand="0" w:evenHBand="1" w:firstRowFirstColumn="0" w:firstRowLastColumn="0" w:lastRowFirstColumn="0" w:lastRowLastColumn="0"/>
        </w:trPr>
        <w:tc>
          <w:tcPr>
            <w:tcW w:w="2806" w:type="dxa"/>
          </w:tcPr>
          <w:p w14:paraId="2D591261" w14:textId="77777777" w:rsidR="00C55319" w:rsidRPr="00EE0896" w:rsidRDefault="00C55319" w:rsidP="00C55319">
            <w:pPr>
              <w:pStyle w:val="TableParagraph"/>
              <w:rPr>
                <w:b/>
              </w:rPr>
            </w:pPr>
            <w:r w:rsidRPr="00EE0896">
              <w:rPr>
                <w:b/>
              </w:rPr>
              <w:t>Total</w:t>
            </w:r>
          </w:p>
        </w:tc>
        <w:tc>
          <w:tcPr>
            <w:tcW w:w="2416" w:type="dxa"/>
          </w:tcPr>
          <w:p w14:paraId="4D22ECC7" w14:textId="0CD200EB" w:rsidR="00C55319" w:rsidRPr="00EE0896" w:rsidRDefault="00C55319" w:rsidP="00C55319">
            <w:pPr>
              <w:pStyle w:val="TableParagraph"/>
              <w:jc w:val="right"/>
              <w:rPr>
                <w:b/>
              </w:rPr>
            </w:pPr>
            <w:r w:rsidRPr="00C55319">
              <w:rPr>
                <w:b/>
              </w:rPr>
              <w:t>£</w:t>
            </w:r>
            <w:r w:rsidR="00D465F1" w:rsidRPr="00D465F1">
              <w:rPr>
                <w:b/>
              </w:rPr>
              <w:t>1,190,942</w:t>
            </w:r>
          </w:p>
        </w:tc>
        <w:tc>
          <w:tcPr>
            <w:tcW w:w="2388" w:type="dxa"/>
          </w:tcPr>
          <w:p w14:paraId="4FE26A74" w14:textId="1A5847B5" w:rsidR="00C55319" w:rsidRDefault="00C55319" w:rsidP="00C55319">
            <w:pPr>
              <w:pStyle w:val="TableParagraph"/>
              <w:jc w:val="right"/>
              <w:rPr>
                <w:b/>
              </w:rPr>
            </w:pPr>
            <w:r w:rsidRPr="00C55319">
              <w:rPr>
                <w:b/>
              </w:rPr>
              <w:t>£1,015,075</w:t>
            </w:r>
          </w:p>
        </w:tc>
        <w:tc>
          <w:tcPr>
            <w:tcW w:w="2159" w:type="dxa"/>
          </w:tcPr>
          <w:p w14:paraId="3C1ACE04" w14:textId="6F79E0BB" w:rsidR="00C55319" w:rsidRDefault="00D465F1" w:rsidP="00C55319">
            <w:pPr>
              <w:pStyle w:val="TableParagraph"/>
              <w:jc w:val="right"/>
              <w:rPr>
                <w:b/>
              </w:rPr>
            </w:pPr>
            <w:r w:rsidRPr="00D465F1">
              <w:rPr>
                <w:b/>
              </w:rPr>
              <w:t>-£175,867</w:t>
            </w:r>
          </w:p>
        </w:tc>
      </w:tr>
    </w:tbl>
    <w:p w14:paraId="19378A8D" w14:textId="77777777" w:rsidR="00544808" w:rsidRDefault="00E21E8A" w:rsidP="00E21E8A">
      <w:pPr>
        <w:pStyle w:val="Quote"/>
      </w:pPr>
      <w:r>
        <w:t xml:space="preserve">Source: Funding: </w:t>
      </w:r>
      <w:r w:rsidRPr="00E21E8A">
        <w:t>Social Prescription Cash flow v0 6; provided by ECC to PACEC July 2016</w:t>
      </w:r>
      <w:r>
        <w:t>/ information provided by Age UK Essex and ECC. Spend: Information provided by delivery organisations (May / June 2017)</w:t>
      </w:r>
    </w:p>
    <w:p w14:paraId="02CB14F9" w14:textId="30276B73" w:rsidR="001815AB" w:rsidRDefault="00692BEF" w:rsidP="00AE785D">
      <w:pPr>
        <w:pStyle w:val="BodyText-parastyle"/>
      </w:pPr>
      <w:r>
        <w:t xml:space="preserve">Table </w:t>
      </w:r>
      <w:r w:rsidR="004B7FF5">
        <w:t>8</w:t>
      </w:r>
      <w:r>
        <w:t>.</w:t>
      </w:r>
      <w:r w:rsidR="00EE788C">
        <w:t>1</w:t>
      </w:r>
      <w:r>
        <w:t xml:space="preserve"> shows that at 31 March 2016 th</w:t>
      </w:r>
      <w:r w:rsidR="00CC4581">
        <w:t>ere has been an overall undersp</w:t>
      </w:r>
      <w:r>
        <w:t>e</w:t>
      </w:r>
      <w:r w:rsidR="00CC4581">
        <w:t>nd</w:t>
      </w:r>
      <w:r>
        <w:t xml:space="preserve"> </w:t>
      </w:r>
      <w:r w:rsidR="00C55319">
        <w:t>of</w:t>
      </w:r>
      <w:r w:rsidR="00D465F1">
        <w:t xml:space="preserve"> </w:t>
      </w:r>
      <w:r w:rsidR="00D465F1" w:rsidRPr="00D465F1">
        <w:t>£175,867</w:t>
      </w:r>
      <w:r>
        <w:t>; this is due to</w:t>
      </w:r>
      <w:r w:rsidR="001815AB">
        <w:t xml:space="preserve"> a variety of reasons at project level including:</w:t>
      </w:r>
    </w:p>
    <w:p w14:paraId="43F04E74" w14:textId="69A94E59" w:rsidR="001815AB" w:rsidRDefault="001815AB" w:rsidP="00D53262">
      <w:pPr>
        <w:pStyle w:val="ListParagraph"/>
      </w:pPr>
      <w:r>
        <w:t xml:space="preserve">Basildon and Brentwood – underspend due to delays in mobilisation/ project start which resulted in recruitment delays. In addition, </w:t>
      </w:r>
      <w:r w:rsidRPr="001815AB">
        <w:t xml:space="preserve">savings were able to be made in categories such as volunteer expenses as while initially it was expected a team of up to 30 volunteers would be recruited to support patients, this was overestimated and not required to deliver the project, resulting in less e.g. training expenses. </w:t>
      </w:r>
      <w:r>
        <w:t>T</w:t>
      </w:r>
      <w:r w:rsidRPr="001815AB">
        <w:t xml:space="preserve">he project </w:t>
      </w:r>
      <w:r>
        <w:t xml:space="preserve">also </w:t>
      </w:r>
      <w:r w:rsidRPr="001815AB">
        <w:t>saved on IT development costs by being able to use a pre-existing database of organisations.</w:t>
      </w:r>
      <w:r w:rsidR="0051418C">
        <w:t xml:space="preserve"> </w:t>
      </w:r>
      <w:r w:rsidR="00855A5F">
        <w:t>The</w:t>
      </w:r>
      <w:r w:rsidR="0051418C">
        <w:t xml:space="preserve">se funds </w:t>
      </w:r>
      <w:r w:rsidR="00855A5F">
        <w:t xml:space="preserve">will be carried forward to </w:t>
      </w:r>
      <w:r w:rsidR="0051418C">
        <w:t>20</w:t>
      </w:r>
      <w:r w:rsidR="00855A5F">
        <w:t xml:space="preserve">17/18. </w:t>
      </w:r>
    </w:p>
    <w:p w14:paraId="74FE823F" w14:textId="24F1F186" w:rsidR="001815AB" w:rsidRDefault="001815AB" w:rsidP="00D53262">
      <w:pPr>
        <w:pStyle w:val="ListParagraph"/>
      </w:pPr>
      <w:r>
        <w:t xml:space="preserve">Castle Point - </w:t>
      </w:r>
      <w:r w:rsidRPr="001815AB">
        <w:t xml:space="preserve">underspend was intentional as it was anticipated that if the scheme were successful the second year would require a higher level of investment to meet increasing demand / level of workload. It was noted </w:t>
      </w:r>
      <w:r w:rsidR="00E57024">
        <w:t xml:space="preserve">by the delivery organisation </w:t>
      </w:r>
      <w:r w:rsidRPr="001815AB">
        <w:t xml:space="preserve">that plans are in place to ensure there is no underspend at the end of the </w:t>
      </w:r>
      <w:r w:rsidR="003C333D" w:rsidRPr="001815AB">
        <w:t>two-year</w:t>
      </w:r>
      <w:r w:rsidRPr="001815AB">
        <w:t xml:space="preserve"> term as the organisation is currently reviewing resource for the immediate future to meet both the current levels of referrals and anticipated up take of the service</w:t>
      </w:r>
      <w:r w:rsidR="00E57024">
        <w:t>.</w:t>
      </w:r>
    </w:p>
    <w:p w14:paraId="1E6681CD" w14:textId="6C41DF78" w:rsidR="00661A6F" w:rsidRDefault="00661A6F" w:rsidP="00D53262">
      <w:pPr>
        <w:pStyle w:val="ListParagraph"/>
      </w:pPr>
      <w:r>
        <w:t>M</w:t>
      </w:r>
      <w:r w:rsidR="007A2A55">
        <w:t>id Essex – underspend of £</w:t>
      </w:r>
      <w:r w:rsidR="007A2A55" w:rsidRPr="007A2A55">
        <w:t>68,892</w:t>
      </w:r>
      <w:r>
        <w:t xml:space="preserve"> which has been </w:t>
      </w:r>
      <w:r w:rsidRPr="00661A6F">
        <w:t xml:space="preserve">allocated but not yet spent as </w:t>
      </w:r>
      <w:r>
        <w:t xml:space="preserve">the project is </w:t>
      </w:r>
      <w:r w:rsidRPr="00661A6F">
        <w:t>wait</w:t>
      </w:r>
      <w:r>
        <w:t>ing</w:t>
      </w:r>
      <w:r w:rsidRPr="00661A6F">
        <w:t xml:space="preserve"> for work to be completed</w:t>
      </w:r>
      <w:r w:rsidR="00FA1E28">
        <w:t xml:space="preserve"> and will be carried forward to 2017/18.</w:t>
      </w:r>
    </w:p>
    <w:p w14:paraId="02701549" w14:textId="65A0C004" w:rsidR="002008BA" w:rsidRDefault="002008BA" w:rsidP="00D53262">
      <w:pPr>
        <w:pStyle w:val="ListParagraph"/>
      </w:pPr>
      <w:r>
        <w:t xml:space="preserve">West Essex - </w:t>
      </w:r>
      <w:r w:rsidR="00EA7E2E">
        <w:t>the contract issued to the delivery organisation by the CCG was for £199k</w:t>
      </w:r>
      <w:r w:rsidR="00E73739">
        <w:t xml:space="preserve"> </w:t>
      </w:r>
      <w:r w:rsidR="00EA7E2E">
        <w:t>and therefore £</w:t>
      </w:r>
      <w:r w:rsidR="00EA7E2E" w:rsidRPr="007E0849">
        <w:t>30,224</w:t>
      </w:r>
      <w:r w:rsidR="00EA7E2E">
        <w:t>k</w:t>
      </w:r>
      <w:r w:rsidR="00EE2068">
        <w:t xml:space="preserve"> </w:t>
      </w:r>
      <w:r w:rsidR="00EA7E2E">
        <w:t>has been carried</w:t>
      </w:r>
      <w:r w:rsidR="00EA7E2E" w:rsidRPr="002008BA">
        <w:t xml:space="preserve"> forward</w:t>
      </w:r>
      <w:r w:rsidR="00EA7E2E">
        <w:t xml:space="preserve"> for use by the delivery organisation in </w:t>
      </w:r>
      <w:r w:rsidR="0051418C">
        <w:t>20</w:t>
      </w:r>
      <w:r w:rsidR="00EA7E2E">
        <w:t xml:space="preserve">17/18. </w:t>
      </w:r>
    </w:p>
    <w:p w14:paraId="2E5F0A2F" w14:textId="0169B738" w:rsidR="00FA1E28" w:rsidRDefault="00FA1E28" w:rsidP="00D53262">
      <w:pPr>
        <w:pStyle w:val="ListParagraph"/>
      </w:pPr>
      <w:r>
        <w:t xml:space="preserve">Southend – part of the funding (£20,000) was used to </w:t>
      </w:r>
      <w:r w:rsidRPr="001E37B8">
        <w:t>establish a ‘tariff pot’ to help fund th</w:t>
      </w:r>
      <w:r>
        <w:t>e services provided by 10 VCS organisations however this</w:t>
      </w:r>
      <w:r w:rsidRPr="001E37B8">
        <w:t xml:space="preserve"> was not used as much as originally anticipated</w:t>
      </w:r>
      <w:r>
        <w:t xml:space="preserve"> due to the </w:t>
      </w:r>
      <w:r w:rsidRPr="001E37B8">
        <w:t>initial lack of patients taking up the Social Prescription offer</w:t>
      </w:r>
      <w:r>
        <w:t xml:space="preserve">; </w:t>
      </w:r>
      <w:r w:rsidRPr="001E37B8">
        <w:t>the agreed tariffs varied considerably in price as some of the organisations were run purely by volunteers and thus the costs were low</w:t>
      </w:r>
      <w:r>
        <w:t>; -</w:t>
      </w:r>
      <w:r w:rsidRPr="001E37B8">
        <w:t xml:space="preserve">the prescriptions were much broader than originally anticipated with many being referred to other organisations </w:t>
      </w:r>
      <w:r>
        <w:t>other than the ten identified</w:t>
      </w:r>
      <w:r w:rsidRPr="001E37B8">
        <w:t xml:space="preserve"> who were not paid for their services</w:t>
      </w:r>
      <w:r>
        <w:t xml:space="preserve">; and </w:t>
      </w:r>
      <w:r w:rsidRPr="001E37B8">
        <w:t>some of the more highly motivated patients purely needed support to create simply lifestyle changes that didn’t necessitate a paid for service</w:t>
      </w:r>
      <w:r>
        <w:t xml:space="preserve">. It is anticipated that the funds will be carried forward to 2017/18 to undertake Social Prescription </w:t>
      </w:r>
      <w:r w:rsidRPr="0051418C">
        <w:t>activities linked to the new localities structure that is being set up in Southend.</w:t>
      </w:r>
      <w:r>
        <w:rPr>
          <w:rStyle w:val="FootnoteReference"/>
        </w:rPr>
        <w:footnoteReference w:id="91"/>
      </w:r>
    </w:p>
    <w:p w14:paraId="489F6645" w14:textId="1088980D" w:rsidR="001E37B8" w:rsidRDefault="00502B4D" w:rsidP="00AE785D">
      <w:pPr>
        <w:pStyle w:val="BodyText-parastyle"/>
      </w:pPr>
      <w:r>
        <w:t>Table</w:t>
      </w:r>
      <w:r w:rsidR="00692BEF">
        <w:t xml:space="preserve"> </w:t>
      </w:r>
      <w:r w:rsidR="004B7FF5">
        <w:t>8</w:t>
      </w:r>
      <w:r>
        <w:t>.</w:t>
      </w:r>
      <w:r w:rsidR="00EE788C">
        <w:t>2</w:t>
      </w:r>
      <w:r w:rsidR="00692BEF">
        <w:t xml:space="preserve"> details expenditure on set up and</w:t>
      </w:r>
      <w:r w:rsidR="007E0A90">
        <w:t xml:space="preserve"> business as usual </w:t>
      </w:r>
      <w:r w:rsidR="00692BEF" w:rsidRPr="00D71902">
        <w:t xml:space="preserve">/ </w:t>
      </w:r>
      <w:r w:rsidR="00692BEF">
        <w:t>project d</w:t>
      </w:r>
      <w:r w:rsidR="00692BEF" w:rsidRPr="00D71902">
        <w:t>elivery</w:t>
      </w:r>
      <w:r w:rsidR="00ED4955">
        <w:t xml:space="preserve"> for five of the </w:t>
      </w:r>
      <w:r w:rsidR="00ED6D63">
        <w:t xml:space="preserve">seven projects (this information was not available for North East Essex Tendring or Southend). </w:t>
      </w:r>
      <w:r w:rsidR="001F0FBA">
        <w:t>B</w:t>
      </w:r>
      <w:r w:rsidR="001F0FBA" w:rsidRPr="001F0FBA">
        <w:t>usiness as usual</w:t>
      </w:r>
      <w:r w:rsidR="001F0FBA">
        <w:t xml:space="preserve"> / delivery costs refers to the cost of delivering the project after the initial costs associated with implementation. </w:t>
      </w:r>
    </w:p>
    <w:p w14:paraId="5ED32FF9" w14:textId="77777777" w:rsidR="00F006C8" w:rsidRDefault="00F006C8" w:rsidP="00AE785D">
      <w:pPr>
        <w:pStyle w:val="BodyText-parastyle"/>
      </w:pPr>
    </w:p>
    <w:p w14:paraId="2C154153" w14:textId="77777777" w:rsidR="00F006C8" w:rsidRDefault="00F006C8" w:rsidP="00AE785D">
      <w:pPr>
        <w:pStyle w:val="BodyText-parastyle"/>
      </w:pPr>
    </w:p>
    <w:p w14:paraId="4677DD8D" w14:textId="77777777" w:rsidR="00F006C8" w:rsidRDefault="00F006C8" w:rsidP="00AE785D">
      <w:pPr>
        <w:pStyle w:val="BodyText-parastyle"/>
      </w:pPr>
    </w:p>
    <w:p w14:paraId="7F7B403D" w14:textId="77777777" w:rsidR="00F006C8" w:rsidRDefault="00F006C8" w:rsidP="00AE785D">
      <w:pPr>
        <w:pStyle w:val="BodyText-parastyle"/>
      </w:pPr>
    </w:p>
    <w:p w14:paraId="365C5215" w14:textId="77777777" w:rsidR="00F006C8" w:rsidRDefault="00F006C8" w:rsidP="00AE785D">
      <w:pPr>
        <w:pStyle w:val="BodyText-parastyle"/>
      </w:pPr>
    </w:p>
    <w:p w14:paraId="26233983" w14:textId="2DB6E9BB" w:rsidR="00E21E8A" w:rsidRPr="00C9130A" w:rsidRDefault="00E21E8A" w:rsidP="00CD4614">
      <w:pPr>
        <w:pStyle w:val="IntenseQuote"/>
      </w:pPr>
      <w:r w:rsidRPr="00C9130A">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w:t>
      </w:r>
      <w:r w:rsidR="00603E87">
        <w:fldChar w:fldCharType="end"/>
      </w:r>
      <w:r w:rsidRPr="00C9130A">
        <w:t xml:space="preserve">: Expenditure for </w:t>
      </w:r>
      <w:r w:rsidR="00524DD1" w:rsidRPr="00C9130A">
        <w:t xml:space="preserve">set up and </w:t>
      </w:r>
      <w:r w:rsidRPr="00C9130A">
        <w:t xml:space="preserve">project delivery </w:t>
      </w:r>
      <w:r w:rsidR="00115113">
        <w:t xml:space="preserve">for five projects </w:t>
      </w:r>
      <w:r w:rsidR="0051418C">
        <w:t>(</w:t>
      </w:r>
      <w:r w:rsidR="00524DD1" w:rsidRPr="00C9130A">
        <w:t>201</w:t>
      </w:r>
      <w:r w:rsidR="00ED4955" w:rsidRPr="00C9130A">
        <w:t>5/16 – 2016/17</w:t>
      </w:r>
      <w:r w:rsidR="0051418C">
        <w:t>)</w:t>
      </w:r>
    </w:p>
    <w:tbl>
      <w:tblPr>
        <w:tblStyle w:val="ForfasTableGrid1"/>
        <w:tblW w:w="0" w:type="auto"/>
        <w:tblLook w:val="04A0" w:firstRow="1" w:lastRow="0" w:firstColumn="1" w:lastColumn="0" w:noHBand="0" w:noVBand="1"/>
      </w:tblPr>
      <w:tblGrid>
        <w:gridCol w:w="3363"/>
        <w:gridCol w:w="3363"/>
        <w:gridCol w:w="3043"/>
      </w:tblGrid>
      <w:tr w:rsidR="007E0A90" w:rsidRPr="00C9130A" w14:paraId="252D6F8A" w14:textId="77777777" w:rsidTr="007E0A90">
        <w:trPr>
          <w:cnfStyle w:val="100000000000" w:firstRow="1" w:lastRow="0" w:firstColumn="0" w:lastColumn="0" w:oddVBand="0" w:evenVBand="0" w:oddHBand="0" w:evenHBand="0" w:firstRowFirstColumn="0" w:firstRowLastColumn="0" w:lastRowFirstColumn="0" w:lastRowLastColumn="0"/>
        </w:trPr>
        <w:tc>
          <w:tcPr>
            <w:tcW w:w="3363" w:type="dxa"/>
            <w:vAlign w:val="center"/>
          </w:tcPr>
          <w:p w14:paraId="30622544" w14:textId="77777777" w:rsidR="007E0A90" w:rsidRPr="006A76DB" w:rsidRDefault="007E0A90" w:rsidP="00294B94">
            <w:pPr>
              <w:pStyle w:val="TableHeading"/>
              <w:spacing w:after="0"/>
            </w:pPr>
            <w:r w:rsidRPr="006A76DB">
              <w:t>Set up Costs</w:t>
            </w:r>
          </w:p>
        </w:tc>
        <w:tc>
          <w:tcPr>
            <w:tcW w:w="3363" w:type="dxa"/>
            <w:vAlign w:val="center"/>
          </w:tcPr>
          <w:p w14:paraId="403C70E7" w14:textId="77777777" w:rsidR="007E0A90" w:rsidRPr="006A76DB" w:rsidRDefault="007E0A90" w:rsidP="00294B94">
            <w:pPr>
              <w:pStyle w:val="TableHeading"/>
              <w:spacing w:after="0"/>
            </w:pPr>
            <w:r>
              <w:t xml:space="preserve">Business as Usual / Delivery Costs </w:t>
            </w:r>
          </w:p>
        </w:tc>
        <w:tc>
          <w:tcPr>
            <w:tcW w:w="3043" w:type="dxa"/>
          </w:tcPr>
          <w:p w14:paraId="69C42788" w14:textId="77777777" w:rsidR="007E0A90" w:rsidRDefault="007E0A90" w:rsidP="00294B94">
            <w:pPr>
              <w:pStyle w:val="TableHeading"/>
              <w:spacing w:after="0"/>
            </w:pPr>
            <w:r>
              <w:t>Total Expenditure (Five Projects)</w:t>
            </w:r>
          </w:p>
        </w:tc>
      </w:tr>
      <w:tr w:rsidR="007E0A90" w:rsidRPr="00C9130A" w14:paraId="43D072E3" w14:textId="77777777" w:rsidTr="007E0A90">
        <w:trPr>
          <w:cnfStyle w:val="000000100000" w:firstRow="0" w:lastRow="0" w:firstColumn="0" w:lastColumn="0" w:oddVBand="0" w:evenVBand="0" w:oddHBand="1" w:evenHBand="0" w:firstRowFirstColumn="0" w:firstRowLastColumn="0" w:lastRowFirstColumn="0" w:lastRowLastColumn="0"/>
        </w:trPr>
        <w:tc>
          <w:tcPr>
            <w:tcW w:w="3363" w:type="dxa"/>
          </w:tcPr>
          <w:p w14:paraId="5B1CC085" w14:textId="7351E973" w:rsidR="007E0A90" w:rsidRPr="00C9130A" w:rsidRDefault="00F13E29" w:rsidP="00294B94">
            <w:pPr>
              <w:spacing w:after="0"/>
              <w:jc w:val="right"/>
            </w:pPr>
            <w:r w:rsidRPr="00F13E29">
              <w:t>£</w:t>
            </w:r>
            <w:r w:rsidR="005234E1" w:rsidRPr="005234E1">
              <w:t>289,689</w:t>
            </w:r>
          </w:p>
        </w:tc>
        <w:tc>
          <w:tcPr>
            <w:tcW w:w="3363" w:type="dxa"/>
          </w:tcPr>
          <w:p w14:paraId="7912A1C7" w14:textId="2875D657" w:rsidR="007E0A90" w:rsidRPr="00C9130A" w:rsidRDefault="00F13E29" w:rsidP="00294B94">
            <w:pPr>
              <w:spacing w:after="0"/>
              <w:jc w:val="right"/>
            </w:pPr>
            <w:r w:rsidRPr="00F13E29">
              <w:t>£472,386</w:t>
            </w:r>
          </w:p>
        </w:tc>
        <w:tc>
          <w:tcPr>
            <w:tcW w:w="3043" w:type="dxa"/>
          </w:tcPr>
          <w:p w14:paraId="5AD54BF9" w14:textId="4BACA14B" w:rsidR="007E0A90" w:rsidRPr="005A5BE5" w:rsidRDefault="00F13E29" w:rsidP="00294B94">
            <w:pPr>
              <w:spacing w:after="0"/>
              <w:jc w:val="right"/>
            </w:pPr>
            <w:r w:rsidRPr="00F13E29">
              <w:t>£</w:t>
            </w:r>
            <w:r w:rsidR="005234E1" w:rsidRPr="005234E1">
              <w:t>762,075</w:t>
            </w:r>
          </w:p>
        </w:tc>
      </w:tr>
    </w:tbl>
    <w:p w14:paraId="2ED449BB" w14:textId="77777777" w:rsidR="00E21E8A" w:rsidRPr="00085C66" w:rsidRDefault="00E21E8A" w:rsidP="00E21E8A">
      <w:pPr>
        <w:pStyle w:val="Quote"/>
        <w:rPr>
          <w:lang w:val="en-GB" w:eastAsia="en-GB"/>
        </w:rPr>
      </w:pPr>
      <w:r w:rsidRPr="00085C66">
        <w:rPr>
          <w:lang w:val="en-GB" w:eastAsia="en-GB"/>
        </w:rPr>
        <w:t xml:space="preserve">Source: Provided by </w:t>
      </w:r>
      <w:r w:rsidR="00D204A9" w:rsidRPr="00085C66">
        <w:rPr>
          <w:lang w:val="en-GB" w:eastAsia="en-GB"/>
        </w:rPr>
        <w:t xml:space="preserve">delivery organisations to </w:t>
      </w:r>
      <w:r w:rsidRPr="00085C66">
        <w:rPr>
          <w:lang w:val="en-GB" w:eastAsia="en-GB"/>
        </w:rPr>
        <w:t>RSM PACEC (May 2017)</w:t>
      </w:r>
    </w:p>
    <w:p w14:paraId="211D478E" w14:textId="0511A59B" w:rsidR="00AD0525" w:rsidRDefault="00FA2A09" w:rsidP="00AE785D">
      <w:pPr>
        <w:pStyle w:val="BodyText-parastyle"/>
      </w:pPr>
      <w:r w:rsidRPr="00085C66">
        <w:t xml:space="preserve">Table </w:t>
      </w:r>
      <w:r w:rsidR="004B7FF5">
        <w:t>8</w:t>
      </w:r>
      <w:r w:rsidRPr="00085C66">
        <w:t>.</w:t>
      </w:r>
      <w:r w:rsidR="00EE788C">
        <w:t>2</w:t>
      </w:r>
      <w:r w:rsidRPr="00085C66">
        <w:t xml:space="preserve"> </w:t>
      </w:r>
      <w:r w:rsidR="00E21E8A" w:rsidRPr="00085C66">
        <w:t xml:space="preserve">shows that set up costs account for </w:t>
      </w:r>
      <w:r w:rsidR="00AF6126" w:rsidRPr="00085C66">
        <w:t>3</w:t>
      </w:r>
      <w:r w:rsidR="00F13E29">
        <w:t>7</w:t>
      </w:r>
      <w:r w:rsidR="00E21E8A" w:rsidRPr="00085C66">
        <w:t xml:space="preserve">% of expenditure with the remaining </w:t>
      </w:r>
      <w:r w:rsidR="00AF6126" w:rsidRPr="00085C66">
        <w:t>6</w:t>
      </w:r>
      <w:r w:rsidR="00F13E29">
        <w:t>3</w:t>
      </w:r>
      <w:r w:rsidR="00E21E8A" w:rsidRPr="00085C66">
        <w:t xml:space="preserve">% relating to </w:t>
      </w:r>
      <w:r w:rsidR="003B56B3">
        <w:t>business as usual</w:t>
      </w:r>
      <w:r w:rsidR="00E21E8A" w:rsidRPr="00085C66">
        <w:t xml:space="preserve"> / project delivery costs. </w:t>
      </w:r>
    </w:p>
    <w:p w14:paraId="7B4EC409" w14:textId="40475E68" w:rsidR="00AD0525" w:rsidRPr="00A908DC" w:rsidRDefault="00AD0525" w:rsidP="00AD0525">
      <w:pPr>
        <w:pStyle w:val="Heading2"/>
      </w:pPr>
      <w:bookmarkStart w:id="62" w:name="_Toc497934292"/>
      <w:r w:rsidRPr="00A908DC">
        <w:t>Value for Money</w:t>
      </w:r>
      <w:bookmarkEnd w:id="62"/>
    </w:p>
    <w:p w14:paraId="17C388FB" w14:textId="72E489EE" w:rsidR="00210DF6" w:rsidRPr="00210DF6" w:rsidRDefault="00A908DC" w:rsidP="00AE785D">
      <w:pPr>
        <w:pStyle w:val="BodyText-parastyle"/>
      </w:pPr>
      <w:r>
        <w:t>A</w:t>
      </w:r>
      <w:r w:rsidR="00524DD1" w:rsidRPr="00210DF6">
        <w:t xml:space="preserve">cross </w:t>
      </w:r>
      <w:r w:rsidR="00210DF6" w:rsidRPr="00210DF6">
        <w:t>five</w:t>
      </w:r>
      <w:r w:rsidR="00524DD1" w:rsidRPr="00210DF6">
        <w:t xml:space="preserve"> projects</w:t>
      </w:r>
      <w:r w:rsidR="00210DF6" w:rsidRPr="00210DF6">
        <w:rPr>
          <w:rStyle w:val="FootnoteReference"/>
        </w:rPr>
        <w:footnoteReference w:id="92"/>
      </w:r>
      <w:r w:rsidR="00524DD1" w:rsidRPr="00210DF6">
        <w:t xml:space="preserve"> </w:t>
      </w:r>
      <w:r w:rsidR="00210DF6" w:rsidRPr="00210DF6">
        <w:t xml:space="preserve">4,951 </w:t>
      </w:r>
      <w:r w:rsidR="00524DD1" w:rsidRPr="00210DF6">
        <w:t xml:space="preserve">referrals were received and </w:t>
      </w:r>
      <w:r w:rsidR="00210DF6" w:rsidRPr="00210DF6">
        <w:t>4,807</w:t>
      </w:r>
      <w:r w:rsidR="00524DD1" w:rsidRPr="00210DF6">
        <w:t xml:space="preserve"> people supported</w:t>
      </w:r>
      <w:r w:rsidR="00502B4D" w:rsidRPr="00210DF6">
        <w:t xml:space="preserve"> with either a lower and / or higher level of support (see section </w:t>
      </w:r>
      <w:r w:rsidR="003702C8" w:rsidRPr="00210DF6">
        <w:t>6.3</w:t>
      </w:r>
      <w:r w:rsidR="00502B4D" w:rsidRPr="00210DF6">
        <w:t>).</w:t>
      </w:r>
      <w:r w:rsidR="00524DD1" w:rsidRPr="00210DF6">
        <w:t xml:space="preserve"> </w:t>
      </w:r>
      <w:r w:rsidR="00210DF6" w:rsidRPr="00210DF6">
        <w:t>Tables 8.</w:t>
      </w:r>
      <w:r w:rsidR="00EE788C">
        <w:t>3</w:t>
      </w:r>
      <w:r w:rsidR="00210DF6" w:rsidRPr="00210DF6">
        <w:t xml:space="preserve"> and 8.</w:t>
      </w:r>
      <w:r w:rsidR="00EE788C">
        <w:t>4</w:t>
      </w:r>
      <w:r w:rsidR="00210DF6" w:rsidRPr="00210DF6">
        <w:t xml:space="preserve"> detail the anticipated and actual cost per service user based on total project costs (set up and </w:t>
      </w:r>
      <w:r w:rsidR="003B56B3">
        <w:t>business as usual</w:t>
      </w:r>
      <w:r w:rsidR="00210DF6" w:rsidRPr="00210DF6">
        <w:t xml:space="preserve"> / delivery costs) and </w:t>
      </w:r>
      <w:r w:rsidR="003B56B3">
        <w:t>business as usual</w:t>
      </w:r>
      <w:r w:rsidR="00210DF6" w:rsidRPr="00210DF6">
        <w:t xml:space="preserve"> / delivery costs only. </w:t>
      </w:r>
    </w:p>
    <w:p w14:paraId="436AB477" w14:textId="77777777" w:rsidR="00210DF6" w:rsidRPr="00210DF6" w:rsidRDefault="00210DF6" w:rsidP="00AE785D">
      <w:pPr>
        <w:pStyle w:val="BodyText-parastylebold"/>
      </w:pPr>
      <w:r w:rsidRPr="00210DF6">
        <w:t>Note:</w:t>
      </w:r>
    </w:p>
    <w:p w14:paraId="6F9A044E" w14:textId="77777777" w:rsidR="00210DF6" w:rsidRPr="007E0A90" w:rsidRDefault="00210DF6" w:rsidP="00D53262">
      <w:pPr>
        <w:pStyle w:val="ListParagraph"/>
      </w:pPr>
      <w:r w:rsidRPr="007E0A90">
        <w:t xml:space="preserve">This does not include the funding or expenditure figures for the Tendring Mental Health Hub project as participant numbers were not available for this evaluation. </w:t>
      </w:r>
    </w:p>
    <w:p w14:paraId="02A424B1" w14:textId="77777777" w:rsidR="00210DF6" w:rsidRPr="00E315A1" w:rsidRDefault="00210DF6" w:rsidP="00D53262">
      <w:pPr>
        <w:pStyle w:val="ListParagraph"/>
      </w:pPr>
      <w:r w:rsidRPr="007E0A90">
        <w:t xml:space="preserve">This does not include the funding or expenditure figures for the West Essex Smart Life </w:t>
      </w:r>
      <w:r w:rsidRPr="00E315A1">
        <w:t xml:space="preserve">project as it did not have referral targets and </w:t>
      </w:r>
      <w:r w:rsidR="007E0A90" w:rsidRPr="00E315A1">
        <w:t xml:space="preserve">therefore </w:t>
      </w:r>
      <w:r w:rsidRPr="00E315A1">
        <w:t>cannot be included in the anticipated vs actual cost</w:t>
      </w:r>
      <w:r w:rsidR="007E0A90" w:rsidRPr="00E315A1">
        <w:t xml:space="preserve"> per participant</w:t>
      </w:r>
      <w:r w:rsidRPr="00E315A1">
        <w:t xml:space="preserve"> analysis. </w:t>
      </w:r>
    </w:p>
    <w:p w14:paraId="6E20539E" w14:textId="022F220F" w:rsidR="00210DF6" w:rsidRPr="00E315A1" w:rsidRDefault="00210DF6" w:rsidP="00D53262">
      <w:pPr>
        <w:pStyle w:val="ListParagraph"/>
      </w:pPr>
      <w:r w:rsidRPr="00E315A1">
        <w:t>Expenditure for Southend includes the amount allocated to the Social Prescription element (£22,815)</w:t>
      </w:r>
      <w:r w:rsidRPr="00E315A1">
        <w:rPr>
          <w:rStyle w:val="FootnoteReference"/>
          <w:b/>
        </w:rPr>
        <w:footnoteReference w:id="93"/>
      </w:r>
      <w:r w:rsidR="00E315A1">
        <w:t xml:space="preserve">. Southend was not included in the business as usual analysis as this breakdown was not available </w:t>
      </w:r>
    </w:p>
    <w:p w14:paraId="6934D2E1" w14:textId="1B498C60" w:rsidR="00210DF6" w:rsidRPr="007E0A90" w:rsidRDefault="00210DF6" w:rsidP="00D53262">
      <w:pPr>
        <w:pStyle w:val="ListParagraph"/>
      </w:pPr>
      <w:r w:rsidRPr="007E0A90">
        <w:t xml:space="preserve">It also does not include costs associated with the services that Social Prescribing service users </w:t>
      </w:r>
      <w:r w:rsidR="00692213">
        <w:t>were</w:t>
      </w:r>
      <w:r w:rsidRPr="007E0A90">
        <w:t xml:space="preserve"> referred out to which may be substantial. </w:t>
      </w:r>
    </w:p>
    <w:p w14:paraId="2A8AE3AC" w14:textId="77777777" w:rsidR="00502B4D" w:rsidRPr="00210DF6" w:rsidRDefault="0045527A" w:rsidP="00AE785D">
      <w:pPr>
        <w:pStyle w:val="BodyText-parastyle"/>
      </w:pPr>
      <w:r w:rsidRPr="00210DF6">
        <w:t xml:space="preserve">These show that: </w:t>
      </w:r>
    </w:p>
    <w:p w14:paraId="2D4D0079" w14:textId="110AD26D" w:rsidR="005978E2" w:rsidRPr="00210DF6" w:rsidRDefault="005978E2" w:rsidP="00D53262">
      <w:pPr>
        <w:pStyle w:val="ListParagraph"/>
      </w:pPr>
      <w:r w:rsidRPr="00210DF6">
        <w:rPr>
          <w:color w:val="00B0F0"/>
        </w:rPr>
        <w:t>Total project costs (set up and business as usual / delivery costs)</w:t>
      </w:r>
      <w:r w:rsidRPr="00210DF6">
        <w:t xml:space="preserve"> – the cost per </w:t>
      </w:r>
      <w:r w:rsidR="00352230">
        <w:t>service</w:t>
      </w:r>
      <w:r w:rsidRPr="00210DF6">
        <w:t xml:space="preserve"> based on total project costs and </w:t>
      </w:r>
      <w:r w:rsidR="00210DF6" w:rsidRPr="00210DF6">
        <w:t>4,807</w:t>
      </w:r>
      <w:r w:rsidR="002A14C9" w:rsidRPr="00210DF6">
        <w:t xml:space="preserve"> </w:t>
      </w:r>
      <w:r w:rsidRPr="00210DF6">
        <w:t>people supported</w:t>
      </w:r>
      <w:r w:rsidR="00B67FE6">
        <w:t xml:space="preserve"> (for </w:t>
      </w:r>
      <w:r w:rsidR="00E315A1">
        <w:t>five</w:t>
      </w:r>
      <w:r w:rsidR="00F74553">
        <w:t xml:space="preserve"> </w:t>
      </w:r>
      <w:r w:rsidR="00B67FE6">
        <w:t>projects)</w:t>
      </w:r>
      <w:r w:rsidRPr="00210DF6">
        <w:t xml:space="preserve"> is </w:t>
      </w:r>
      <w:r w:rsidR="00E315A1">
        <w:t xml:space="preserve">£122 </w:t>
      </w:r>
      <w:r w:rsidR="00352230">
        <w:t xml:space="preserve">compared to an anticipated cost per service user of </w:t>
      </w:r>
      <w:r w:rsidR="00E315A1">
        <w:t>£232</w:t>
      </w:r>
      <w:r w:rsidR="00294B94">
        <w:t>; and</w:t>
      </w:r>
    </w:p>
    <w:p w14:paraId="7E17E444" w14:textId="67374C07" w:rsidR="00344E76" w:rsidRDefault="005978E2" w:rsidP="00481A69">
      <w:pPr>
        <w:pStyle w:val="ListParagraph"/>
      </w:pPr>
      <w:r w:rsidRPr="00210DF6">
        <w:rPr>
          <w:color w:val="00B0F0"/>
        </w:rPr>
        <w:t xml:space="preserve">Business as usual / delivery costs only </w:t>
      </w:r>
      <w:r w:rsidRPr="00210DF6">
        <w:t xml:space="preserve">– the cost per </w:t>
      </w:r>
      <w:r w:rsidR="00352230">
        <w:t>service use</w:t>
      </w:r>
      <w:r w:rsidR="00103204">
        <w:t>r</w:t>
      </w:r>
      <w:r w:rsidRPr="00210DF6">
        <w:t xml:space="preserve"> based on business as usual costs </w:t>
      </w:r>
      <w:r w:rsidR="00481A69">
        <w:t xml:space="preserve">of </w:t>
      </w:r>
      <w:r w:rsidR="00481A69" w:rsidRPr="00481A69">
        <w:t>£305,470</w:t>
      </w:r>
      <w:r w:rsidR="00481A69">
        <w:t xml:space="preserve"> </w:t>
      </w:r>
      <w:r w:rsidRPr="00210DF6">
        <w:t xml:space="preserve">and </w:t>
      </w:r>
      <w:r w:rsidR="00210DF6" w:rsidRPr="00210DF6">
        <w:t>4,</w:t>
      </w:r>
      <w:r w:rsidR="00E315A1">
        <w:t>742</w:t>
      </w:r>
      <w:r w:rsidR="00210DF6" w:rsidRPr="00210DF6">
        <w:t xml:space="preserve"> </w:t>
      </w:r>
      <w:r w:rsidRPr="00210DF6">
        <w:t xml:space="preserve">people supported </w:t>
      </w:r>
      <w:r w:rsidR="00B67FE6">
        <w:t>(for f</w:t>
      </w:r>
      <w:r w:rsidR="00E315A1">
        <w:t>our</w:t>
      </w:r>
      <w:r w:rsidR="00B67FE6">
        <w:t xml:space="preserve"> projects)</w:t>
      </w:r>
      <w:r w:rsidR="00B67FE6" w:rsidRPr="00210DF6">
        <w:t xml:space="preserve"> </w:t>
      </w:r>
      <w:r w:rsidRPr="00210DF6">
        <w:t>is £</w:t>
      </w:r>
      <w:r w:rsidR="00521F8E">
        <w:t>6</w:t>
      </w:r>
      <w:r w:rsidR="00F74553">
        <w:t>4</w:t>
      </w:r>
    </w:p>
    <w:p w14:paraId="759CFB63" w14:textId="4C1B0C98" w:rsidR="00502B4D" w:rsidRDefault="00502B4D"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3</w:t>
      </w:r>
      <w:r w:rsidR="00603E87">
        <w:fldChar w:fldCharType="end"/>
      </w:r>
      <w:r w:rsidR="00320A79">
        <w:t>: Cost per service user</w:t>
      </w:r>
      <w:r>
        <w:t xml:space="preserve"> – based on </w:t>
      </w:r>
      <w:r w:rsidR="00EE21BF">
        <w:t>total budget and expenditure</w:t>
      </w:r>
      <w:r>
        <w:t xml:space="preserve"> </w:t>
      </w:r>
      <w:r w:rsidR="00855A5F">
        <w:t xml:space="preserve">for five projects </w:t>
      </w:r>
      <w:r>
        <w:t>(</w:t>
      </w:r>
      <w:r w:rsidR="00170515">
        <w:t>2015/16 – 2016/17</w:t>
      </w:r>
      <w:r>
        <w:t>)</w:t>
      </w:r>
    </w:p>
    <w:tbl>
      <w:tblPr>
        <w:tblStyle w:val="ForfasTableGrid1"/>
        <w:tblW w:w="9769" w:type="dxa"/>
        <w:tblLook w:val="04A0" w:firstRow="1" w:lastRow="0" w:firstColumn="1" w:lastColumn="0" w:noHBand="0" w:noVBand="1"/>
      </w:tblPr>
      <w:tblGrid>
        <w:gridCol w:w="1689"/>
        <w:gridCol w:w="1619"/>
        <w:gridCol w:w="1619"/>
        <w:gridCol w:w="1621"/>
        <w:gridCol w:w="1611"/>
        <w:gridCol w:w="1610"/>
      </w:tblGrid>
      <w:tr w:rsidR="00502B4D" w14:paraId="1BF4A61D" w14:textId="77777777" w:rsidTr="00214BCE">
        <w:trPr>
          <w:cnfStyle w:val="100000000000" w:firstRow="1" w:lastRow="0" w:firstColumn="0" w:lastColumn="0" w:oddVBand="0" w:evenVBand="0" w:oddHBand="0" w:evenHBand="0" w:firstRowFirstColumn="0" w:firstRowLastColumn="0" w:lastRowFirstColumn="0" w:lastRowLastColumn="0"/>
        </w:trPr>
        <w:tc>
          <w:tcPr>
            <w:tcW w:w="1689" w:type="dxa"/>
          </w:tcPr>
          <w:p w14:paraId="2264FA61" w14:textId="77777777" w:rsidR="00502B4D" w:rsidRPr="00E54BE1" w:rsidRDefault="002F5105" w:rsidP="00214BCE">
            <w:pPr>
              <w:pStyle w:val="TableHeading"/>
              <w:spacing w:after="0"/>
              <w:rPr>
                <w:b/>
              </w:rPr>
            </w:pPr>
            <w:r>
              <w:rPr>
                <w:b/>
              </w:rPr>
              <w:t xml:space="preserve">Total </w:t>
            </w:r>
            <w:r w:rsidR="00502B4D">
              <w:rPr>
                <w:b/>
              </w:rPr>
              <w:t xml:space="preserve">budget </w:t>
            </w:r>
            <w:r w:rsidR="00502B4D" w:rsidRPr="00E54BE1">
              <w:rPr>
                <w:b/>
              </w:rPr>
              <w:t>(£)</w:t>
            </w:r>
            <w:r w:rsidR="00502B4D">
              <w:rPr>
                <w:b/>
              </w:rPr>
              <w:t xml:space="preserve">  </w:t>
            </w:r>
          </w:p>
        </w:tc>
        <w:tc>
          <w:tcPr>
            <w:tcW w:w="1619" w:type="dxa"/>
          </w:tcPr>
          <w:p w14:paraId="16E626FE" w14:textId="77777777" w:rsidR="00502B4D" w:rsidRDefault="00502B4D" w:rsidP="00214BCE">
            <w:pPr>
              <w:pStyle w:val="TableHeading"/>
              <w:spacing w:after="0"/>
              <w:rPr>
                <w:b/>
              </w:rPr>
            </w:pPr>
            <w:r>
              <w:rPr>
                <w:b/>
              </w:rPr>
              <w:t xml:space="preserve">Anticipated number of service users </w:t>
            </w:r>
          </w:p>
        </w:tc>
        <w:tc>
          <w:tcPr>
            <w:tcW w:w="1619" w:type="dxa"/>
          </w:tcPr>
          <w:p w14:paraId="1672AA41" w14:textId="77777777" w:rsidR="00502B4D" w:rsidRPr="00E54BE1" w:rsidRDefault="00502B4D" w:rsidP="00214BCE">
            <w:pPr>
              <w:pStyle w:val="TableHeading"/>
              <w:spacing w:after="0"/>
              <w:rPr>
                <w:b/>
              </w:rPr>
            </w:pPr>
            <w:r>
              <w:rPr>
                <w:b/>
              </w:rPr>
              <w:t>Anticipated cost per service user</w:t>
            </w:r>
          </w:p>
        </w:tc>
        <w:tc>
          <w:tcPr>
            <w:tcW w:w="1621" w:type="dxa"/>
          </w:tcPr>
          <w:p w14:paraId="47FA3A22" w14:textId="77777777" w:rsidR="00502B4D" w:rsidRPr="00AF1638" w:rsidRDefault="00502B4D" w:rsidP="00214BCE">
            <w:pPr>
              <w:spacing w:after="0"/>
              <w:rPr>
                <w:rFonts w:eastAsiaTheme="minorHAnsi"/>
                <w:b/>
                <w:bCs/>
                <w:noProof/>
                <w:color w:val="FFFFFF" w:themeColor="background1"/>
                <w:szCs w:val="22"/>
                <w:lang w:val="en-IE" w:eastAsia="ar-SA"/>
              </w:rPr>
            </w:pPr>
            <w:r>
              <w:rPr>
                <w:rFonts w:eastAsiaTheme="minorHAnsi"/>
                <w:b/>
                <w:bCs/>
                <w:noProof/>
                <w:color w:val="FFFFFF" w:themeColor="background1"/>
                <w:szCs w:val="22"/>
                <w:lang w:val="en-IE" w:eastAsia="ar-SA"/>
              </w:rPr>
              <w:t xml:space="preserve">Total expenditure </w:t>
            </w:r>
            <w:r w:rsidRPr="00AF1638">
              <w:rPr>
                <w:rFonts w:eastAsiaTheme="minorHAnsi"/>
                <w:b/>
                <w:bCs/>
                <w:noProof/>
                <w:color w:val="FFFFFF" w:themeColor="background1"/>
                <w:szCs w:val="22"/>
                <w:lang w:val="en-IE" w:eastAsia="ar-SA"/>
              </w:rPr>
              <w:t xml:space="preserve"> (£) – at 31 March 2017</w:t>
            </w:r>
          </w:p>
        </w:tc>
        <w:tc>
          <w:tcPr>
            <w:tcW w:w="1611" w:type="dxa"/>
          </w:tcPr>
          <w:p w14:paraId="6594FEDE" w14:textId="77777777" w:rsidR="00502B4D" w:rsidRDefault="00502B4D" w:rsidP="00214BCE">
            <w:pPr>
              <w:spacing w:after="0"/>
              <w:rPr>
                <w:rFonts w:eastAsiaTheme="minorHAnsi"/>
                <w:b/>
                <w:bCs/>
                <w:noProof/>
                <w:color w:val="FFFFFF" w:themeColor="background1"/>
                <w:szCs w:val="22"/>
                <w:lang w:val="en-IE" w:eastAsia="ar-SA"/>
              </w:rPr>
            </w:pPr>
            <w:r w:rsidRPr="00B53BE0">
              <w:rPr>
                <w:rFonts w:eastAsiaTheme="minorHAnsi"/>
                <w:b/>
                <w:bCs/>
                <w:noProof/>
                <w:color w:val="FFFFFF" w:themeColor="background1"/>
                <w:szCs w:val="22"/>
                <w:lang w:val="en-IE" w:eastAsia="ar-SA"/>
              </w:rPr>
              <w:t>Number of</w:t>
            </w:r>
            <w:r>
              <w:rPr>
                <w:rFonts w:eastAsiaTheme="minorHAnsi"/>
                <w:b/>
                <w:bCs/>
                <w:noProof/>
                <w:color w:val="FFFFFF" w:themeColor="background1"/>
                <w:szCs w:val="22"/>
                <w:lang w:val="en-IE" w:eastAsia="ar-SA"/>
              </w:rPr>
              <w:t xml:space="preserve"> service users </w:t>
            </w:r>
            <w:r w:rsidRPr="00AF1638">
              <w:rPr>
                <w:rFonts w:eastAsiaTheme="minorHAnsi"/>
                <w:b/>
                <w:bCs/>
                <w:noProof/>
                <w:color w:val="FFFFFF" w:themeColor="background1"/>
                <w:szCs w:val="22"/>
                <w:lang w:val="en-IE" w:eastAsia="ar-SA"/>
              </w:rPr>
              <w:t xml:space="preserve"> at 31 March 2017</w:t>
            </w:r>
          </w:p>
        </w:tc>
        <w:tc>
          <w:tcPr>
            <w:tcW w:w="1610" w:type="dxa"/>
          </w:tcPr>
          <w:p w14:paraId="200286A8" w14:textId="77777777" w:rsidR="00502B4D" w:rsidRPr="00AF1638" w:rsidRDefault="00502B4D" w:rsidP="00214BCE">
            <w:pPr>
              <w:spacing w:after="0"/>
              <w:rPr>
                <w:rFonts w:eastAsiaTheme="minorHAnsi"/>
                <w:b/>
                <w:bCs/>
                <w:noProof/>
                <w:color w:val="FFFFFF" w:themeColor="background1"/>
                <w:szCs w:val="22"/>
                <w:lang w:val="en-IE" w:eastAsia="ar-SA"/>
              </w:rPr>
            </w:pPr>
            <w:r>
              <w:rPr>
                <w:rFonts w:eastAsiaTheme="minorHAnsi"/>
                <w:b/>
                <w:bCs/>
                <w:noProof/>
                <w:color w:val="FFFFFF" w:themeColor="background1"/>
                <w:szCs w:val="22"/>
                <w:lang w:val="en-IE" w:eastAsia="ar-SA"/>
              </w:rPr>
              <w:t xml:space="preserve">Actual </w:t>
            </w:r>
            <w:r w:rsidRPr="00045202">
              <w:rPr>
                <w:rFonts w:eastAsiaTheme="minorHAnsi"/>
                <w:b/>
                <w:bCs/>
                <w:noProof/>
                <w:color w:val="FFFFFF" w:themeColor="background1"/>
                <w:szCs w:val="22"/>
                <w:lang w:val="en-US" w:eastAsia="ar-SA"/>
              </w:rPr>
              <w:t>cost per service user</w:t>
            </w:r>
          </w:p>
        </w:tc>
      </w:tr>
      <w:tr w:rsidR="00EE21BF" w:rsidRPr="00CA043D" w14:paraId="0C43C2DA" w14:textId="77777777" w:rsidTr="00294B94">
        <w:trPr>
          <w:cnfStyle w:val="000000100000" w:firstRow="0" w:lastRow="0" w:firstColumn="0" w:lastColumn="0" w:oddVBand="0" w:evenVBand="0" w:oddHBand="1" w:evenHBand="0" w:firstRowFirstColumn="0" w:firstRowLastColumn="0" w:lastRowFirstColumn="0" w:lastRowLastColumn="0"/>
        </w:trPr>
        <w:tc>
          <w:tcPr>
            <w:tcW w:w="1689" w:type="dxa"/>
            <w:vAlign w:val="center"/>
          </w:tcPr>
          <w:p w14:paraId="13955A2A" w14:textId="2F760121" w:rsidR="00EE21BF" w:rsidRDefault="00E315A1" w:rsidP="00294B94">
            <w:pPr>
              <w:spacing w:after="0"/>
              <w:jc w:val="center"/>
            </w:pPr>
            <w:r w:rsidRPr="00E315A1">
              <w:t>£760,942</w:t>
            </w:r>
          </w:p>
        </w:tc>
        <w:tc>
          <w:tcPr>
            <w:tcW w:w="1619" w:type="dxa"/>
            <w:vAlign w:val="center"/>
          </w:tcPr>
          <w:p w14:paraId="63B0B680" w14:textId="4F6C9DBB" w:rsidR="00EE21BF" w:rsidRDefault="00EE21BF" w:rsidP="00294B94">
            <w:pPr>
              <w:spacing w:after="0"/>
              <w:jc w:val="center"/>
            </w:pPr>
            <w:r w:rsidRPr="0091265F">
              <w:t>3,286</w:t>
            </w:r>
          </w:p>
        </w:tc>
        <w:tc>
          <w:tcPr>
            <w:tcW w:w="1619" w:type="dxa"/>
            <w:vAlign w:val="center"/>
          </w:tcPr>
          <w:p w14:paraId="0D564404" w14:textId="276B7698" w:rsidR="00EE21BF" w:rsidRPr="009C2EC9" w:rsidRDefault="00EE21BF" w:rsidP="00294B94">
            <w:pPr>
              <w:spacing w:after="0"/>
              <w:jc w:val="center"/>
              <w:rPr>
                <w:b/>
              </w:rPr>
            </w:pPr>
            <w:r w:rsidRPr="0091265F">
              <w:t>£</w:t>
            </w:r>
            <w:r w:rsidR="00E315A1">
              <w:t>232</w:t>
            </w:r>
          </w:p>
        </w:tc>
        <w:tc>
          <w:tcPr>
            <w:tcW w:w="1621" w:type="dxa"/>
            <w:vAlign w:val="center"/>
          </w:tcPr>
          <w:p w14:paraId="417BF611" w14:textId="35B79634" w:rsidR="00EE21BF" w:rsidRDefault="00E315A1" w:rsidP="00294B94">
            <w:pPr>
              <w:spacing w:after="0"/>
              <w:jc w:val="center"/>
            </w:pPr>
            <w:r w:rsidRPr="00E315A1">
              <w:t>£585,114</w:t>
            </w:r>
          </w:p>
        </w:tc>
        <w:tc>
          <w:tcPr>
            <w:tcW w:w="1611" w:type="dxa"/>
            <w:vAlign w:val="center"/>
          </w:tcPr>
          <w:p w14:paraId="4B9BAEE2" w14:textId="1053C1C7" w:rsidR="00EE21BF" w:rsidRPr="00F303BB" w:rsidRDefault="00E315A1" w:rsidP="00294B94">
            <w:pPr>
              <w:spacing w:after="0"/>
              <w:jc w:val="center"/>
            </w:pPr>
            <w:r>
              <w:t>4,807</w:t>
            </w:r>
          </w:p>
        </w:tc>
        <w:tc>
          <w:tcPr>
            <w:tcW w:w="1610" w:type="dxa"/>
            <w:vAlign w:val="center"/>
          </w:tcPr>
          <w:p w14:paraId="2E910399" w14:textId="16D79642" w:rsidR="00EE21BF" w:rsidRPr="009C2EC9" w:rsidRDefault="00F74553" w:rsidP="00294B94">
            <w:pPr>
              <w:spacing w:after="0"/>
              <w:jc w:val="center"/>
              <w:rPr>
                <w:b/>
              </w:rPr>
            </w:pPr>
            <w:r>
              <w:t>£</w:t>
            </w:r>
            <w:r w:rsidR="00E315A1">
              <w:t>122</w:t>
            </w:r>
          </w:p>
        </w:tc>
      </w:tr>
    </w:tbl>
    <w:p w14:paraId="1BAFB3E9" w14:textId="0A6A0EB7" w:rsidR="009F3F52" w:rsidRPr="00294B94" w:rsidRDefault="00502B4D" w:rsidP="00EE21BF">
      <w:pPr>
        <w:pStyle w:val="Quote"/>
      </w:pPr>
      <w:r>
        <w:t>Source: Budget:</w:t>
      </w:r>
      <w:r w:rsidRPr="00045202">
        <w:t xml:space="preserve"> </w:t>
      </w:r>
      <w:r w:rsidRPr="009F7602">
        <w:t>Social Prescription Cash flow v0 6</w:t>
      </w:r>
      <w:r>
        <w:t xml:space="preserve">; provided by ECC to RSM PACEC July 2016; </w:t>
      </w:r>
      <w:r w:rsidRPr="00294B94">
        <w:t>Expenditure and service users: Provided by delivery organisatio</w:t>
      </w:r>
      <w:r w:rsidR="00B97D22" w:rsidRPr="00294B94">
        <w:t>n to RSM PACEC (May/ June 2017)</w:t>
      </w:r>
    </w:p>
    <w:p w14:paraId="689C2C90" w14:textId="44BEF39E" w:rsidR="00502B4D" w:rsidRPr="00294B94" w:rsidRDefault="00502B4D" w:rsidP="00CD4614">
      <w:pPr>
        <w:pStyle w:val="IntenseQuote"/>
      </w:pPr>
      <w:r w:rsidRPr="00294B94">
        <w:t xml:space="preserve">Table </w:t>
      </w:r>
      <w:r w:rsidR="00603E87" w:rsidRPr="00294B94">
        <w:fldChar w:fldCharType="begin"/>
      </w:r>
      <w:r w:rsidR="00603E87" w:rsidRPr="00294B94">
        <w:instrText xml:space="preserve"> STYLEREF 1 \s </w:instrText>
      </w:r>
      <w:r w:rsidR="00603E87" w:rsidRPr="00294B94">
        <w:fldChar w:fldCharType="separate"/>
      </w:r>
      <w:r w:rsidR="00F006C8" w:rsidRPr="00294B94">
        <w:rPr>
          <w:noProof/>
        </w:rPr>
        <w:t>8</w:t>
      </w:r>
      <w:r w:rsidR="00603E87" w:rsidRPr="00294B94">
        <w:fldChar w:fldCharType="end"/>
      </w:r>
      <w:r w:rsidR="00603E87" w:rsidRPr="00294B94">
        <w:t>:</w:t>
      </w:r>
      <w:r w:rsidR="00603E87" w:rsidRPr="00294B94">
        <w:fldChar w:fldCharType="begin"/>
      </w:r>
      <w:r w:rsidR="00603E87" w:rsidRPr="00294B94">
        <w:instrText xml:space="preserve"> SEQ Table \* ARABIC \s 1 </w:instrText>
      </w:r>
      <w:r w:rsidR="00603E87" w:rsidRPr="00294B94">
        <w:fldChar w:fldCharType="separate"/>
      </w:r>
      <w:r w:rsidR="00F006C8" w:rsidRPr="00294B94">
        <w:rPr>
          <w:noProof/>
        </w:rPr>
        <w:t>4</w:t>
      </w:r>
      <w:r w:rsidR="00603E87" w:rsidRPr="00294B94">
        <w:fldChar w:fldCharType="end"/>
      </w:r>
      <w:r w:rsidRPr="00294B94">
        <w:t xml:space="preserve">: Cost per </w:t>
      </w:r>
      <w:r w:rsidR="00320A79" w:rsidRPr="00294B94">
        <w:t>service user</w:t>
      </w:r>
      <w:r w:rsidRPr="00294B94">
        <w:t xml:space="preserve"> – based on business as usual (</w:t>
      </w:r>
      <w:r w:rsidR="003B56B3" w:rsidRPr="00294B94">
        <w:t>business as usual</w:t>
      </w:r>
      <w:r w:rsidRPr="00294B94">
        <w:t>) costs only</w:t>
      </w:r>
      <w:r w:rsidR="009C2906" w:rsidRPr="00294B94">
        <w:t xml:space="preserve"> for four projects</w:t>
      </w:r>
      <w:r w:rsidRPr="00294B94">
        <w:t xml:space="preserve"> (</w:t>
      </w:r>
      <w:r w:rsidR="00170515" w:rsidRPr="00294B94">
        <w:t>2015/16 – 2016/17</w:t>
      </w:r>
      <w:r w:rsidRPr="00294B94">
        <w:t>)</w:t>
      </w:r>
    </w:p>
    <w:tbl>
      <w:tblPr>
        <w:tblStyle w:val="ForfasTableGrid1"/>
        <w:tblW w:w="0" w:type="auto"/>
        <w:tblLook w:val="04A0" w:firstRow="1" w:lastRow="0" w:firstColumn="1" w:lastColumn="0" w:noHBand="0" w:noVBand="1"/>
      </w:tblPr>
      <w:tblGrid>
        <w:gridCol w:w="3211"/>
        <w:gridCol w:w="3211"/>
        <w:gridCol w:w="3212"/>
      </w:tblGrid>
      <w:tr w:rsidR="00B97D22" w:rsidRPr="00EE21BF" w14:paraId="417C5835" w14:textId="77777777" w:rsidTr="00B97D22">
        <w:trPr>
          <w:cnfStyle w:val="100000000000" w:firstRow="1" w:lastRow="0" w:firstColumn="0" w:lastColumn="0" w:oddVBand="0" w:evenVBand="0" w:oddHBand="0" w:evenHBand="0" w:firstRowFirstColumn="0" w:firstRowLastColumn="0" w:lastRowFirstColumn="0" w:lastRowLastColumn="0"/>
        </w:trPr>
        <w:tc>
          <w:tcPr>
            <w:tcW w:w="3211" w:type="dxa"/>
          </w:tcPr>
          <w:p w14:paraId="4A6670BF" w14:textId="77777777" w:rsidR="00B97D22" w:rsidRPr="00EE21BF" w:rsidRDefault="00B97D22" w:rsidP="0072425E">
            <w:pPr>
              <w:pStyle w:val="TableHeading"/>
              <w:spacing w:after="0"/>
              <w:rPr>
                <w:b/>
              </w:rPr>
            </w:pPr>
            <w:r w:rsidRPr="00EE21BF">
              <w:rPr>
                <w:b/>
              </w:rPr>
              <w:t>Ac</w:t>
            </w:r>
            <w:r w:rsidR="0072425E" w:rsidRPr="00EE21BF">
              <w:rPr>
                <w:b/>
              </w:rPr>
              <w:t xml:space="preserve">tual Costs </w:t>
            </w:r>
            <w:r w:rsidRPr="00EE21BF">
              <w:rPr>
                <w:b/>
              </w:rPr>
              <w:t>(£) – at 31 March 2017</w:t>
            </w:r>
          </w:p>
        </w:tc>
        <w:tc>
          <w:tcPr>
            <w:tcW w:w="3211" w:type="dxa"/>
          </w:tcPr>
          <w:p w14:paraId="57002075" w14:textId="77777777" w:rsidR="00B97D22" w:rsidRPr="00EE21BF" w:rsidRDefault="00B97D22" w:rsidP="00214BCE">
            <w:pPr>
              <w:pStyle w:val="TableHeading"/>
              <w:spacing w:after="0"/>
              <w:rPr>
                <w:b/>
                <w:bCs w:val="0"/>
              </w:rPr>
            </w:pPr>
            <w:r w:rsidRPr="00EE21BF">
              <w:rPr>
                <w:b/>
              </w:rPr>
              <w:t xml:space="preserve">Number of service users </w:t>
            </w:r>
            <w:r w:rsidRPr="00EE21BF">
              <w:rPr>
                <w:b/>
                <w:bCs w:val="0"/>
              </w:rPr>
              <w:t>– at 31 March 2017</w:t>
            </w:r>
          </w:p>
        </w:tc>
        <w:tc>
          <w:tcPr>
            <w:tcW w:w="3212" w:type="dxa"/>
          </w:tcPr>
          <w:p w14:paraId="3AEA16E0" w14:textId="77777777" w:rsidR="00B97D22" w:rsidRPr="00EE21BF" w:rsidRDefault="00B97D22" w:rsidP="00214BCE">
            <w:pPr>
              <w:pStyle w:val="TableHeading"/>
              <w:spacing w:after="0"/>
              <w:rPr>
                <w:b/>
              </w:rPr>
            </w:pPr>
            <w:r w:rsidRPr="00EE21BF">
              <w:rPr>
                <w:b/>
                <w:bCs w:val="0"/>
              </w:rPr>
              <w:t xml:space="preserve">Actual </w:t>
            </w:r>
            <w:r w:rsidRPr="00EE21BF">
              <w:rPr>
                <w:b/>
              </w:rPr>
              <w:t>cost per service user</w:t>
            </w:r>
          </w:p>
        </w:tc>
      </w:tr>
      <w:tr w:rsidR="00B16B10" w:rsidRPr="00CA043D" w14:paraId="2EFC5CD7" w14:textId="77777777" w:rsidTr="00294B94">
        <w:trPr>
          <w:cnfStyle w:val="000000100000" w:firstRow="0" w:lastRow="0" w:firstColumn="0" w:lastColumn="0" w:oddVBand="0" w:evenVBand="0" w:oddHBand="1" w:evenHBand="0" w:firstRowFirstColumn="0" w:firstRowLastColumn="0" w:lastRowFirstColumn="0" w:lastRowLastColumn="0"/>
        </w:trPr>
        <w:tc>
          <w:tcPr>
            <w:tcW w:w="3211" w:type="dxa"/>
            <w:vAlign w:val="center"/>
          </w:tcPr>
          <w:p w14:paraId="5A50B202" w14:textId="6BBCB186" w:rsidR="00B16B10" w:rsidRPr="00EE21BF" w:rsidRDefault="00521F8E" w:rsidP="00294B94">
            <w:pPr>
              <w:spacing w:after="0"/>
              <w:jc w:val="center"/>
              <w:rPr>
                <w:highlight w:val="yellow"/>
              </w:rPr>
            </w:pPr>
            <w:r w:rsidRPr="00521F8E">
              <w:t>£</w:t>
            </w:r>
            <w:r w:rsidR="00F74553" w:rsidRPr="00F74553">
              <w:t>305,470</w:t>
            </w:r>
          </w:p>
        </w:tc>
        <w:tc>
          <w:tcPr>
            <w:tcW w:w="3211" w:type="dxa"/>
            <w:vAlign w:val="center"/>
          </w:tcPr>
          <w:p w14:paraId="64C9DEE0" w14:textId="31503C9F" w:rsidR="00B16B10" w:rsidRPr="00EE21BF" w:rsidRDefault="00E315A1" w:rsidP="00294B94">
            <w:pPr>
              <w:spacing w:after="0"/>
              <w:jc w:val="center"/>
              <w:rPr>
                <w:highlight w:val="yellow"/>
              </w:rPr>
            </w:pPr>
            <w:r w:rsidRPr="00E315A1">
              <w:t>4,742</w:t>
            </w:r>
          </w:p>
        </w:tc>
        <w:tc>
          <w:tcPr>
            <w:tcW w:w="3212" w:type="dxa"/>
            <w:vAlign w:val="center"/>
          </w:tcPr>
          <w:p w14:paraId="2F7823A6" w14:textId="40F34064" w:rsidR="00B16B10" w:rsidRPr="00CD2221" w:rsidRDefault="00B16B10" w:rsidP="00294B94">
            <w:pPr>
              <w:spacing w:after="0"/>
              <w:jc w:val="center"/>
              <w:rPr>
                <w:b/>
              </w:rPr>
            </w:pPr>
            <w:r w:rsidRPr="00294B94">
              <w:t>£</w:t>
            </w:r>
            <w:r w:rsidR="00521F8E" w:rsidRPr="00294B94">
              <w:t>6</w:t>
            </w:r>
            <w:r w:rsidR="00F74553" w:rsidRPr="00294B94">
              <w:t>4</w:t>
            </w:r>
          </w:p>
        </w:tc>
      </w:tr>
    </w:tbl>
    <w:p w14:paraId="22826D2A" w14:textId="77777777" w:rsidR="00320A79" w:rsidRDefault="00502B4D" w:rsidP="00104F76">
      <w:pPr>
        <w:pStyle w:val="Quote"/>
      </w:pPr>
      <w:r>
        <w:t>Source: Provided by delivery organisatio</w:t>
      </w:r>
      <w:r w:rsidR="00170515">
        <w:t>n to RSM PACEC (May/ June 2017)</w:t>
      </w:r>
    </w:p>
    <w:p w14:paraId="00A29B8F" w14:textId="4E5FABE2" w:rsidR="00B16B10" w:rsidRPr="00320A79" w:rsidRDefault="00320A79" w:rsidP="00AE785D">
      <w:pPr>
        <w:pStyle w:val="BodyText-parastyle"/>
      </w:pPr>
      <w:r>
        <w:t xml:space="preserve">Tables </w:t>
      </w:r>
      <w:r w:rsidR="004B7FF5">
        <w:t>8</w:t>
      </w:r>
      <w:r>
        <w:t>.</w:t>
      </w:r>
      <w:r w:rsidR="00EE788C">
        <w:t>5</w:t>
      </w:r>
      <w:r>
        <w:t xml:space="preserve"> and </w:t>
      </w:r>
      <w:r w:rsidR="004B7FF5">
        <w:t>8</w:t>
      </w:r>
      <w:r>
        <w:t>.</w:t>
      </w:r>
      <w:r w:rsidR="00EE788C">
        <w:t>6</w:t>
      </w:r>
      <w:r>
        <w:t xml:space="preserve"> detail the cost per service user based on total project expenditure as well as </w:t>
      </w:r>
      <w:r w:rsidR="003B56B3" w:rsidRPr="003B56B3">
        <w:t xml:space="preserve">business as usual </w:t>
      </w:r>
      <w:r>
        <w:t>/ project delivery costs at 31 March 2017.</w:t>
      </w:r>
      <w:r w:rsidR="005D3808">
        <w:t xml:space="preserve"> These show that the projects with the higher cost per service user (West Essex; </w:t>
      </w:r>
      <w:r w:rsidR="00104F76">
        <w:t>Basildon and Brentwood; Southend and Castle Point and Rochford) are also those that involve more</w:t>
      </w:r>
      <w:r w:rsidR="009F3F52">
        <w:t xml:space="preserve"> intensive / one to one support.</w:t>
      </w:r>
    </w:p>
    <w:p w14:paraId="7936725F" w14:textId="77777777" w:rsidR="00727089" w:rsidRDefault="00214BCE"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5</w:t>
      </w:r>
      <w:r w:rsidR="00603E87">
        <w:fldChar w:fldCharType="end"/>
      </w:r>
      <w:r>
        <w:t xml:space="preserve">: </w:t>
      </w:r>
      <w:r w:rsidR="00727089">
        <w:t xml:space="preserve">Cost per service user </w:t>
      </w:r>
      <w:r w:rsidR="00170515">
        <w:t xml:space="preserve">per project </w:t>
      </w:r>
      <w:r w:rsidR="00727089">
        <w:t>– total expenditure</w:t>
      </w:r>
      <w:r w:rsidR="00170515">
        <w:t xml:space="preserve"> (2015/16 – 2016/17)</w:t>
      </w:r>
    </w:p>
    <w:tbl>
      <w:tblPr>
        <w:tblStyle w:val="ForfasTableGrid1"/>
        <w:tblW w:w="0" w:type="auto"/>
        <w:tblLook w:val="04A0" w:firstRow="1" w:lastRow="0" w:firstColumn="1" w:lastColumn="0" w:noHBand="0" w:noVBand="1"/>
      </w:tblPr>
      <w:tblGrid>
        <w:gridCol w:w="2759"/>
        <w:gridCol w:w="2360"/>
        <w:gridCol w:w="2325"/>
        <w:gridCol w:w="2325"/>
      </w:tblGrid>
      <w:tr w:rsidR="00727089" w14:paraId="7CB320B4" w14:textId="77777777" w:rsidTr="003A0BAD">
        <w:trPr>
          <w:cnfStyle w:val="100000000000" w:firstRow="1" w:lastRow="0" w:firstColumn="0" w:lastColumn="0" w:oddVBand="0" w:evenVBand="0" w:oddHBand="0" w:evenHBand="0" w:firstRowFirstColumn="0" w:firstRowLastColumn="0" w:lastRowFirstColumn="0" w:lastRowLastColumn="0"/>
          <w:tblHeader/>
        </w:trPr>
        <w:tc>
          <w:tcPr>
            <w:tcW w:w="2759" w:type="dxa"/>
          </w:tcPr>
          <w:p w14:paraId="38CE93E9" w14:textId="77777777" w:rsidR="00727089" w:rsidRDefault="00727089" w:rsidP="007E5C13">
            <w:pPr>
              <w:pStyle w:val="TableHeading"/>
              <w:spacing w:after="0"/>
            </w:pPr>
            <w:r>
              <w:t xml:space="preserve">Locality </w:t>
            </w:r>
          </w:p>
        </w:tc>
        <w:tc>
          <w:tcPr>
            <w:tcW w:w="2360" w:type="dxa"/>
          </w:tcPr>
          <w:p w14:paraId="680D1826" w14:textId="77777777" w:rsidR="00727089" w:rsidRDefault="00170515" w:rsidP="007E5C13">
            <w:pPr>
              <w:pStyle w:val="TableHeading"/>
              <w:spacing w:after="0"/>
            </w:pPr>
            <w:r>
              <w:t xml:space="preserve">Total </w:t>
            </w:r>
            <w:r w:rsidR="00727089">
              <w:t xml:space="preserve">Expenditure </w:t>
            </w:r>
          </w:p>
        </w:tc>
        <w:tc>
          <w:tcPr>
            <w:tcW w:w="2325" w:type="dxa"/>
          </w:tcPr>
          <w:p w14:paraId="59646715" w14:textId="77777777" w:rsidR="00727089" w:rsidRDefault="0072425E" w:rsidP="007E5C13">
            <w:pPr>
              <w:pStyle w:val="TableHeading"/>
              <w:spacing w:after="0"/>
            </w:pPr>
            <w:r>
              <w:t>Total Service Users</w:t>
            </w:r>
          </w:p>
        </w:tc>
        <w:tc>
          <w:tcPr>
            <w:tcW w:w="2325" w:type="dxa"/>
          </w:tcPr>
          <w:p w14:paraId="7BD38570" w14:textId="77777777" w:rsidR="00727089" w:rsidRDefault="00727089" w:rsidP="007E5C13">
            <w:pPr>
              <w:pStyle w:val="TableHeading"/>
              <w:spacing w:after="0"/>
            </w:pPr>
            <w:r>
              <w:t xml:space="preserve">Cost per </w:t>
            </w:r>
            <w:r w:rsidR="0072425E">
              <w:t>Service User</w:t>
            </w:r>
            <w:r>
              <w:t xml:space="preserve"> </w:t>
            </w:r>
          </w:p>
        </w:tc>
      </w:tr>
      <w:tr w:rsidR="00170515" w14:paraId="0E576E46" w14:textId="77777777" w:rsidTr="00170515">
        <w:trPr>
          <w:cnfStyle w:val="000000100000" w:firstRow="0" w:lastRow="0" w:firstColumn="0" w:lastColumn="0" w:oddVBand="0" w:evenVBand="0" w:oddHBand="1" w:evenHBand="0" w:firstRowFirstColumn="0" w:firstRowLastColumn="0" w:lastRowFirstColumn="0" w:lastRowLastColumn="0"/>
        </w:trPr>
        <w:tc>
          <w:tcPr>
            <w:tcW w:w="2759" w:type="dxa"/>
          </w:tcPr>
          <w:p w14:paraId="7EFAA5E1" w14:textId="77777777" w:rsidR="00170515" w:rsidRDefault="00170515" w:rsidP="007E5C13">
            <w:pPr>
              <w:pStyle w:val="TableParagraph"/>
              <w:spacing w:after="0"/>
            </w:pPr>
            <w:r>
              <w:t xml:space="preserve">Basildon and Brentwood </w:t>
            </w:r>
          </w:p>
        </w:tc>
        <w:tc>
          <w:tcPr>
            <w:tcW w:w="2360" w:type="dxa"/>
          </w:tcPr>
          <w:p w14:paraId="70BA98C1" w14:textId="77777777" w:rsidR="00170515" w:rsidRDefault="00170515" w:rsidP="007E5C13">
            <w:pPr>
              <w:pStyle w:val="TableParagraph"/>
              <w:spacing w:after="0"/>
              <w:jc w:val="right"/>
            </w:pPr>
            <w:r w:rsidRPr="00015A65">
              <w:t>£112,575</w:t>
            </w:r>
          </w:p>
        </w:tc>
        <w:tc>
          <w:tcPr>
            <w:tcW w:w="2325" w:type="dxa"/>
          </w:tcPr>
          <w:p w14:paraId="4183133B" w14:textId="77777777" w:rsidR="00170515" w:rsidRPr="00015A65" w:rsidRDefault="00170515" w:rsidP="007E5C13">
            <w:pPr>
              <w:pStyle w:val="TableParagraph"/>
              <w:spacing w:after="0"/>
              <w:jc w:val="right"/>
            </w:pPr>
            <w:r w:rsidRPr="00BB5F7F">
              <w:t>301</w:t>
            </w:r>
          </w:p>
        </w:tc>
        <w:tc>
          <w:tcPr>
            <w:tcW w:w="2325" w:type="dxa"/>
          </w:tcPr>
          <w:p w14:paraId="5C85A6A8" w14:textId="77777777" w:rsidR="00170515" w:rsidRPr="00015A65" w:rsidRDefault="00170515" w:rsidP="007E5C13">
            <w:pPr>
              <w:pStyle w:val="TableParagraph"/>
              <w:spacing w:after="0"/>
              <w:jc w:val="right"/>
            </w:pPr>
            <w:r w:rsidRPr="00EF2826">
              <w:t>£374</w:t>
            </w:r>
          </w:p>
        </w:tc>
      </w:tr>
      <w:tr w:rsidR="00170515" w14:paraId="7485E4BC" w14:textId="77777777" w:rsidTr="00170515">
        <w:trPr>
          <w:cnfStyle w:val="000000010000" w:firstRow="0" w:lastRow="0" w:firstColumn="0" w:lastColumn="0" w:oddVBand="0" w:evenVBand="0" w:oddHBand="0" w:evenHBand="1" w:firstRowFirstColumn="0" w:firstRowLastColumn="0" w:lastRowFirstColumn="0" w:lastRowLastColumn="0"/>
        </w:trPr>
        <w:tc>
          <w:tcPr>
            <w:tcW w:w="2759" w:type="dxa"/>
          </w:tcPr>
          <w:p w14:paraId="4B2E34D7" w14:textId="77777777" w:rsidR="00170515" w:rsidRDefault="00170515" w:rsidP="007E5C13">
            <w:pPr>
              <w:pStyle w:val="TableParagraph"/>
              <w:spacing w:after="0"/>
            </w:pPr>
            <w:r w:rsidRPr="00EE0896">
              <w:t>Castle Point and Rochford</w:t>
            </w:r>
          </w:p>
        </w:tc>
        <w:tc>
          <w:tcPr>
            <w:tcW w:w="2360" w:type="dxa"/>
          </w:tcPr>
          <w:p w14:paraId="46AE0BE6" w14:textId="77777777" w:rsidR="00170515" w:rsidRPr="00403DB7" w:rsidRDefault="00170515" w:rsidP="007E5C13">
            <w:pPr>
              <w:pStyle w:val="TableParagraph"/>
              <w:spacing w:after="0"/>
              <w:jc w:val="right"/>
            </w:pPr>
            <w:r>
              <w:t>£</w:t>
            </w:r>
            <w:r w:rsidR="007E5C13">
              <w:t>73,130</w:t>
            </w:r>
          </w:p>
        </w:tc>
        <w:tc>
          <w:tcPr>
            <w:tcW w:w="2325" w:type="dxa"/>
          </w:tcPr>
          <w:p w14:paraId="1E0B50B2" w14:textId="77777777" w:rsidR="00170515" w:rsidRDefault="00170515" w:rsidP="007E5C13">
            <w:pPr>
              <w:pStyle w:val="TableParagraph"/>
              <w:spacing w:after="0"/>
              <w:jc w:val="right"/>
            </w:pPr>
            <w:r w:rsidRPr="00BB5F7F">
              <w:t>371</w:t>
            </w:r>
          </w:p>
        </w:tc>
        <w:tc>
          <w:tcPr>
            <w:tcW w:w="2325" w:type="dxa"/>
          </w:tcPr>
          <w:p w14:paraId="332383D9" w14:textId="77777777" w:rsidR="00170515" w:rsidRDefault="00170515" w:rsidP="007E5C13">
            <w:pPr>
              <w:pStyle w:val="TableParagraph"/>
              <w:spacing w:after="0"/>
              <w:jc w:val="right"/>
            </w:pPr>
            <w:r w:rsidRPr="00EF2826">
              <w:t>£197</w:t>
            </w:r>
          </w:p>
        </w:tc>
      </w:tr>
      <w:tr w:rsidR="00170515" w14:paraId="5A6BA462" w14:textId="77777777" w:rsidTr="00170515">
        <w:trPr>
          <w:cnfStyle w:val="000000100000" w:firstRow="0" w:lastRow="0" w:firstColumn="0" w:lastColumn="0" w:oddVBand="0" w:evenVBand="0" w:oddHBand="1" w:evenHBand="0" w:firstRowFirstColumn="0" w:firstRowLastColumn="0" w:lastRowFirstColumn="0" w:lastRowLastColumn="0"/>
        </w:trPr>
        <w:tc>
          <w:tcPr>
            <w:tcW w:w="2759" w:type="dxa"/>
          </w:tcPr>
          <w:p w14:paraId="4FA4F662" w14:textId="77777777" w:rsidR="00170515" w:rsidRDefault="00170515" w:rsidP="007E5C13">
            <w:pPr>
              <w:pStyle w:val="TableParagraph"/>
              <w:spacing w:after="0"/>
            </w:pPr>
            <w:r w:rsidRPr="00EE0896">
              <w:t>Mid Essex</w:t>
            </w:r>
          </w:p>
        </w:tc>
        <w:tc>
          <w:tcPr>
            <w:tcW w:w="2360" w:type="dxa"/>
          </w:tcPr>
          <w:p w14:paraId="068CF1A2" w14:textId="4EFA0695" w:rsidR="00170515" w:rsidRPr="00403DB7" w:rsidRDefault="00EE21BF" w:rsidP="007E5C13">
            <w:pPr>
              <w:pStyle w:val="TableParagraph"/>
              <w:spacing w:after="0"/>
              <w:jc w:val="right"/>
            </w:pPr>
            <w:r w:rsidRPr="00EE21BF">
              <w:t>£217,593</w:t>
            </w:r>
          </w:p>
        </w:tc>
        <w:tc>
          <w:tcPr>
            <w:tcW w:w="2325" w:type="dxa"/>
          </w:tcPr>
          <w:p w14:paraId="681E9A22" w14:textId="77777777" w:rsidR="00170515" w:rsidRPr="00015A65" w:rsidRDefault="00B97D22" w:rsidP="007E5C13">
            <w:pPr>
              <w:pStyle w:val="TableParagraph"/>
              <w:spacing w:after="0"/>
              <w:jc w:val="right"/>
            </w:pPr>
            <w:r>
              <w:t>1430</w:t>
            </w:r>
          </w:p>
        </w:tc>
        <w:tc>
          <w:tcPr>
            <w:tcW w:w="2325" w:type="dxa"/>
          </w:tcPr>
          <w:p w14:paraId="790BF2B9" w14:textId="5DD11843" w:rsidR="00170515" w:rsidRPr="00015A65" w:rsidRDefault="00EE21BF" w:rsidP="00B16B10">
            <w:pPr>
              <w:pStyle w:val="TableParagraph"/>
              <w:spacing w:after="0"/>
              <w:jc w:val="right"/>
            </w:pPr>
            <w:r w:rsidRPr="00EE21BF">
              <w:t>£152</w:t>
            </w:r>
          </w:p>
        </w:tc>
      </w:tr>
      <w:tr w:rsidR="00170515" w14:paraId="631F92ED" w14:textId="77777777" w:rsidTr="00170515">
        <w:trPr>
          <w:cnfStyle w:val="000000010000" w:firstRow="0" w:lastRow="0" w:firstColumn="0" w:lastColumn="0" w:oddVBand="0" w:evenVBand="0" w:oddHBand="0" w:evenHBand="1" w:firstRowFirstColumn="0" w:firstRowLastColumn="0" w:lastRowFirstColumn="0" w:lastRowLastColumn="0"/>
        </w:trPr>
        <w:tc>
          <w:tcPr>
            <w:tcW w:w="2759" w:type="dxa"/>
          </w:tcPr>
          <w:p w14:paraId="6E8E2322" w14:textId="77777777" w:rsidR="00170515" w:rsidRDefault="00170515" w:rsidP="007E5C13">
            <w:pPr>
              <w:pStyle w:val="TableParagraph"/>
              <w:spacing w:after="0"/>
            </w:pPr>
            <w:r w:rsidRPr="00EE0896">
              <w:t>NE Essex – Colchester</w:t>
            </w:r>
          </w:p>
        </w:tc>
        <w:tc>
          <w:tcPr>
            <w:tcW w:w="2360" w:type="dxa"/>
          </w:tcPr>
          <w:p w14:paraId="5DE6BFE4" w14:textId="77777777" w:rsidR="00170515" w:rsidRPr="00403DB7" w:rsidRDefault="00170515" w:rsidP="007E5C13">
            <w:pPr>
              <w:pStyle w:val="TableParagraph"/>
              <w:spacing w:after="0"/>
              <w:jc w:val="right"/>
            </w:pPr>
            <w:r>
              <w:t>£</w:t>
            </w:r>
            <w:r w:rsidRPr="00015A65">
              <w:t>159,000</w:t>
            </w:r>
          </w:p>
        </w:tc>
        <w:tc>
          <w:tcPr>
            <w:tcW w:w="2325" w:type="dxa"/>
          </w:tcPr>
          <w:p w14:paraId="785C876F" w14:textId="77777777" w:rsidR="00170515" w:rsidRDefault="00170515" w:rsidP="007E5C13">
            <w:pPr>
              <w:pStyle w:val="TableParagraph"/>
              <w:spacing w:after="0"/>
              <w:jc w:val="right"/>
            </w:pPr>
            <w:r w:rsidRPr="00BB5F7F">
              <w:t>2640</w:t>
            </w:r>
          </w:p>
        </w:tc>
        <w:tc>
          <w:tcPr>
            <w:tcW w:w="2325" w:type="dxa"/>
          </w:tcPr>
          <w:p w14:paraId="10C4A5F6" w14:textId="77777777" w:rsidR="00170515" w:rsidRDefault="00170515" w:rsidP="007E5C13">
            <w:pPr>
              <w:pStyle w:val="TableParagraph"/>
              <w:spacing w:after="0"/>
              <w:jc w:val="right"/>
            </w:pPr>
            <w:r w:rsidRPr="00EF2826">
              <w:t>£60</w:t>
            </w:r>
          </w:p>
        </w:tc>
      </w:tr>
      <w:tr w:rsidR="00170515" w14:paraId="58C560B7" w14:textId="77777777" w:rsidTr="00170515">
        <w:trPr>
          <w:cnfStyle w:val="000000100000" w:firstRow="0" w:lastRow="0" w:firstColumn="0" w:lastColumn="0" w:oddVBand="0" w:evenVBand="0" w:oddHBand="1" w:evenHBand="0" w:firstRowFirstColumn="0" w:firstRowLastColumn="0" w:lastRowFirstColumn="0" w:lastRowLastColumn="0"/>
        </w:trPr>
        <w:tc>
          <w:tcPr>
            <w:tcW w:w="2759" w:type="dxa"/>
          </w:tcPr>
          <w:p w14:paraId="4D546FA7" w14:textId="77777777" w:rsidR="00170515" w:rsidRDefault="00170515" w:rsidP="007E5C13">
            <w:pPr>
              <w:pStyle w:val="TableParagraph"/>
              <w:spacing w:after="0"/>
            </w:pPr>
            <w:r w:rsidRPr="00EE0896">
              <w:t>West Essex</w:t>
            </w:r>
          </w:p>
        </w:tc>
        <w:tc>
          <w:tcPr>
            <w:tcW w:w="2360" w:type="dxa"/>
          </w:tcPr>
          <w:p w14:paraId="3B4C468A" w14:textId="77777777" w:rsidR="00170515" w:rsidRPr="003F5054" w:rsidRDefault="00170515" w:rsidP="007E5C13">
            <w:pPr>
              <w:pStyle w:val="TableParagraph"/>
              <w:spacing w:after="0"/>
              <w:jc w:val="right"/>
              <w:rPr>
                <w:highlight w:val="yellow"/>
              </w:rPr>
            </w:pPr>
            <w:r>
              <w:t>£</w:t>
            </w:r>
            <w:r w:rsidRPr="00015A65">
              <w:t>199,776</w:t>
            </w:r>
          </w:p>
        </w:tc>
        <w:tc>
          <w:tcPr>
            <w:tcW w:w="2325" w:type="dxa"/>
          </w:tcPr>
          <w:p w14:paraId="783AF30C" w14:textId="77777777" w:rsidR="00170515" w:rsidRDefault="00170515" w:rsidP="007E5C13">
            <w:pPr>
              <w:pStyle w:val="TableParagraph"/>
              <w:spacing w:after="0"/>
              <w:jc w:val="right"/>
            </w:pPr>
            <w:r w:rsidRPr="00BB5F7F">
              <w:t>4</w:t>
            </w:r>
            <w:r w:rsidR="00B97D22">
              <w:t>44</w:t>
            </w:r>
          </w:p>
        </w:tc>
        <w:tc>
          <w:tcPr>
            <w:tcW w:w="2325" w:type="dxa"/>
          </w:tcPr>
          <w:p w14:paraId="088B082D" w14:textId="77777777" w:rsidR="00170515" w:rsidRDefault="00170515" w:rsidP="007E5C13">
            <w:pPr>
              <w:pStyle w:val="TableParagraph"/>
              <w:spacing w:after="0"/>
              <w:jc w:val="right"/>
            </w:pPr>
            <w:r w:rsidRPr="00EF2826">
              <w:t>£4</w:t>
            </w:r>
            <w:r w:rsidR="00320A79">
              <w:t>50</w:t>
            </w:r>
          </w:p>
        </w:tc>
      </w:tr>
      <w:tr w:rsidR="00170515" w14:paraId="1F312834" w14:textId="77777777" w:rsidTr="00170515">
        <w:trPr>
          <w:cnfStyle w:val="000000010000" w:firstRow="0" w:lastRow="0" w:firstColumn="0" w:lastColumn="0" w:oddVBand="0" w:evenVBand="0" w:oddHBand="0" w:evenHBand="1" w:firstRowFirstColumn="0" w:firstRowLastColumn="0" w:lastRowFirstColumn="0" w:lastRowLastColumn="0"/>
        </w:trPr>
        <w:tc>
          <w:tcPr>
            <w:tcW w:w="2759" w:type="dxa"/>
          </w:tcPr>
          <w:p w14:paraId="271C396E" w14:textId="77777777" w:rsidR="00170515" w:rsidRPr="00EE0896" w:rsidRDefault="00170515" w:rsidP="007E5C13">
            <w:pPr>
              <w:pStyle w:val="TableParagraph"/>
              <w:spacing w:after="0"/>
            </w:pPr>
            <w:r>
              <w:t>Southend</w:t>
            </w:r>
          </w:p>
        </w:tc>
        <w:tc>
          <w:tcPr>
            <w:tcW w:w="2360" w:type="dxa"/>
          </w:tcPr>
          <w:p w14:paraId="00D3E87D" w14:textId="77777777" w:rsidR="00170515" w:rsidRPr="004F7D99" w:rsidRDefault="00170515" w:rsidP="007E5C13">
            <w:pPr>
              <w:pStyle w:val="TableParagraph"/>
              <w:spacing w:after="0"/>
              <w:jc w:val="right"/>
            </w:pPr>
            <w:r w:rsidRPr="00421A50">
              <w:t>£22</w:t>
            </w:r>
            <w:r>
              <w:t>,</w:t>
            </w:r>
            <w:r w:rsidRPr="00421A50">
              <w:t>815</w:t>
            </w:r>
            <w:r>
              <w:rPr>
                <w:rStyle w:val="FootnoteReference"/>
              </w:rPr>
              <w:footnoteReference w:id="94"/>
            </w:r>
          </w:p>
        </w:tc>
        <w:tc>
          <w:tcPr>
            <w:tcW w:w="2325" w:type="dxa"/>
          </w:tcPr>
          <w:p w14:paraId="5C8AA760" w14:textId="77777777" w:rsidR="00170515" w:rsidRDefault="00170515" w:rsidP="007E5C13">
            <w:pPr>
              <w:pStyle w:val="TableParagraph"/>
              <w:spacing w:after="0"/>
              <w:jc w:val="right"/>
            </w:pPr>
            <w:r w:rsidRPr="00BB5F7F">
              <w:t>65</w:t>
            </w:r>
          </w:p>
        </w:tc>
        <w:tc>
          <w:tcPr>
            <w:tcW w:w="2325" w:type="dxa"/>
          </w:tcPr>
          <w:p w14:paraId="4E43EEE8" w14:textId="77777777" w:rsidR="00170515" w:rsidRDefault="00170515" w:rsidP="007E5C13">
            <w:pPr>
              <w:pStyle w:val="TableParagraph"/>
              <w:spacing w:after="0"/>
              <w:jc w:val="right"/>
            </w:pPr>
            <w:r w:rsidRPr="00EF2826">
              <w:t>£351</w:t>
            </w:r>
          </w:p>
        </w:tc>
      </w:tr>
      <w:tr w:rsidR="00170515" w14:paraId="1FB264A2" w14:textId="77777777" w:rsidTr="00170515">
        <w:trPr>
          <w:cnfStyle w:val="000000100000" w:firstRow="0" w:lastRow="0" w:firstColumn="0" w:lastColumn="0" w:oddVBand="0" w:evenVBand="0" w:oddHBand="1" w:evenHBand="0" w:firstRowFirstColumn="0" w:firstRowLastColumn="0" w:lastRowFirstColumn="0" w:lastRowLastColumn="0"/>
        </w:trPr>
        <w:tc>
          <w:tcPr>
            <w:tcW w:w="2759" w:type="dxa"/>
          </w:tcPr>
          <w:p w14:paraId="3BE01846" w14:textId="77777777" w:rsidR="00170515" w:rsidRPr="00EE0896" w:rsidRDefault="00170515" w:rsidP="007E5C13">
            <w:pPr>
              <w:pStyle w:val="TableParagraph"/>
              <w:spacing w:after="0"/>
              <w:rPr>
                <w:b/>
              </w:rPr>
            </w:pPr>
            <w:r w:rsidRPr="00EE0896">
              <w:rPr>
                <w:b/>
              </w:rPr>
              <w:t>Total</w:t>
            </w:r>
          </w:p>
        </w:tc>
        <w:tc>
          <w:tcPr>
            <w:tcW w:w="2360" w:type="dxa"/>
          </w:tcPr>
          <w:p w14:paraId="1F1016EA" w14:textId="7D0EC3ED" w:rsidR="00170515" w:rsidRDefault="00EE21BF" w:rsidP="007E5C13">
            <w:pPr>
              <w:pStyle w:val="TableParagraph"/>
              <w:spacing w:after="0"/>
              <w:jc w:val="right"/>
              <w:rPr>
                <w:b/>
              </w:rPr>
            </w:pPr>
            <w:r w:rsidRPr="00EE21BF">
              <w:rPr>
                <w:b/>
              </w:rPr>
              <w:t>£784,889</w:t>
            </w:r>
          </w:p>
        </w:tc>
        <w:tc>
          <w:tcPr>
            <w:tcW w:w="2325" w:type="dxa"/>
          </w:tcPr>
          <w:p w14:paraId="474BCE8C" w14:textId="77777777" w:rsidR="00170515" w:rsidRPr="00170515" w:rsidRDefault="00170515" w:rsidP="007E5C13">
            <w:pPr>
              <w:pStyle w:val="TableParagraph"/>
              <w:spacing w:after="0"/>
              <w:jc w:val="right"/>
              <w:rPr>
                <w:b/>
              </w:rPr>
            </w:pPr>
            <w:r w:rsidRPr="00170515">
              <w:rPr>
                <w:b/>
              </w:rPr>
              <w:t>5,</w:t>
            </w:r>
            <w:r w:rsidR="00B97D22">
              <w:rPr>
                <w:b/>
              </w:rPr>
              <w:t>251</w:t>
            </w:r>
          </w:p>
        </w:tc>
        <w:tc>
          <w:tcPr>
            <w:tcW w:w="2325" w:type="dxa"/>
          </w:tcPr>
          <w:p w14:paraId="423FABE6" w14:textId="4C4DB246" w:rsidR="00170515" w:rsidRPr="00170515" w:rsidRDefault="00170515" w:rsidP="00EE21BF">
            <w:pPr>
              <w:pStyle w:val="TableParagraph"/>
              <w:spacing w:after="0"/>
              <w:jc w:val="right"/>
              <w:rPr>
                <w:b/>
              </w:rPr>
            </w:pPr>
            <w:r w:rsidRPr="00170515">
              <w:rPr>
                <w:b/>
              </w:rPr>
              <w:t>£</w:t>
            </w:r>
            <w:r w:rsidR="00EE21BF">
              <w:rPr>
                <w:b/>
              </w:rPr>
              <w:t>149</w:t>
            </w:r>
          </w:p>
        </w:tc>
      </w:tr>
    </w:tbl>
    <w:p w14:paraId="19CB58AC" w14:textId="77777777" w:rsidR="00170515" w:rsidRDefault="00170515" w:rsidP="00170515">
      <w:pPr>
        <w:pStyle w:val="Quote"/>
      </w:pPr>
      <w:r>
        <w:t>Source: Provided by delivery organisation to RSM PACEC (May/ June 2017)</w:t>
      </w:r>
    </w:p>
    <w:p w14:paraId="289E84AB" w14:textId="77777777" w:rsidR="00727089" w:rsidRDefault="00170515"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6</w:t>
      </w:r>
      <w:r w:rsidR="00603E87">
        <w:fldChar w:fldCharType="end"/>
      </w:r>
      <w:r>
        <w:t xml:space="preserve">: </w:t>
      </w:r>
      <w:r w:rsidR="00727089">
        <w:t xml:space="preserve">Cost per service user </w:t>
      </w:r>
      <w:r w:rsidR="003B56B3">
        <w:t>business as usual</w:t>
      </w:r>
      <w:r w:rsidR="00727089">
        <w:t xml:space="preserve"> costs only </w:t>
      </w:r>
      <w:r>
        <w:t>per project (2015/16 – 2016/17)</w:t>
      </w:r>
    </w:p>
    <w:tbl>
      <w:tblPr>
        <w:tblStyle w:val="ForfasTableGrid1"/>
        <w:tblW w:w="0" w:type="auto"/>
        <w:tblLook w:val="04A0" w:firstRow="1" w:lastRow="0" w:firstColumn="1" w:lastColumn="0" w:noHBand="0" w:noVBand="1"/>
      </w:tblPr>
      <w:tblGrid>
        <w:gridCol w:w="2759"/>
        <w:gridCol w:w="2360"/>
        <w:gridCol w:w="2325"/>
        <w:gridCol w:w="2325"/>
      </w:tblGrid>
      <w:tr w:rsidR="00170515" w14:paraId="367BF1A0" w14:textId="77777777" w:rsidTr="00170515">
        <w:trPr>
          <w:cnfStyle w:val="100000000000" w:firstRow="1" w:lastRow="0" w:firstColumn="0" w:lastColumn="0" w:oddVBand="0" w:evenVBand="0" w:oddHBand="0" w:evenHBand="0" w:firstRowFirstColumn="0" w:firstRowLastColumn="0" w:lastRowFirstColumn="0" w:lastRowLastColumn="0"/>
          <w:tblHeader/>
        </w:trPr>
        <w:tc>
          <w:tcPr>
            <w:tcW w:w="2759" w:type="dxa"/>
          </w:tcPr>
          <w:p w14:paraId="6454650B" w14:textId="77777777" w:rsidR="00170515" w:rsidRDefault="00170515" w:rsidP="007E5C13">
            <w:pPr>
              <w:pStyle w:val="TableHeading"/>
              <w:spacing w:after="0"/>
            </w:pPr>
            <w:r>
              <w:t xml:space="preserve">Locality </w:t>
            </w:r>
          </w:p>
        </w:tc>
        <w:tc>
          <w:tcPr>
            <w:tcW w:w="2360" w:type="dxa"/>
          </w:tcPr>
          <w:p w14:paraId="14B5376F" w14:textId="77777777" w:rsidR="00170515" w:rsidRDefault="003B56B3" w:rsidP="007E5C13">
            <w:pPr>
              <w:pStyle w:val="TableHeading"/>
              <w:spacing w:after="0"/>
            </w:pPr>
            <w:r>
              <w:t>Business a</w:t>
            </w:r>
            <w:r w:rsidR="00170515">
              <w:t>s Usual</w:t>
            </w:r>
            <w:r w:rsidR="0072425E">
              <w:t xml:space="preserve"> </w:t>
            </w:r>
            <w:r w:rsidR="00170515">
              <w:t xml:space="preserve">/ Delivery Costs Only  </w:t>
            </w:r>
          </w:p>
        </w:tc>
        <w:tc>
          <w:tcPr>
            <w:tcW w:w="2325" w:type="dxa"/>
          </w:tcPr>
          <w:p w14:paraId="071C480A" w14:textId="77777777" w:rsidR="00170515" w:rsidRDefault="00170515" w:rsidP="007E5C13">
            <w:pPr>
              <w:pStyle w:val="TableHeading"/>
              <w:spacing w:after="0"/>
            </w:pPr>
            <w:r>
              <w:t>Total Ser</w:t>
            </w:r>
            <w:r w:rsidR="00AA63A6">
              <w:t>v</w:t>
            </w:r>
            <w:r>
              <w:t>ice Users</w:t>
            </w:r>
          </w:p>
        </w:tc>
        <w:tc>
          <w:tcPr>
            <w:tcW w:w="2325" w:type="dxa"/>
          </w:tcPr>
          <w:p w14:paraId="63044946" w14:textId="77777777" w:rsidR="00170515" w:rsidRDefault="00170515" w:rsidP="007E5C13">
            <w:pPr>
              <w:pStyle w:val="TableHeading"/>
              <w:spacing w:after="0"/>
            </w:pPr>
            <w:r>
              <w:t>Cost per Ser</w:t>
            </w:r>
            <w:r w:rsidR="0072425E">
              <w:t>vic</w:t>
            </w:r>
            <w:r>
              <w:t xml:space="preserve">e User </w:t>
            </w:r>
          </w:p>
        </w:tc>
      </w:tr>
      <w:tr w:rsidR="00170515" w14:paraId="19880939" w14:textId="77777777" w:rsidTr="0004699E">
        <w:trPr>
          <w:cnfStyle w:val="000000100000" w:firstRow="0" w:lastRow="0" w:firstColumn="0" w:lastColumn="0" w:oddVBand="0" w:evenVBand="0" w:oddHBand="1" w:evenHBand="0" w:firstRowFirstColumn="0" w:firstRowLastColumn="0" w:lastRowFirstColumn="0" w:lastRowLastColumn="0"/>
        </w:trPr>
        <w:tc>
          <w:tcPr>
            <w:tcW w:w="2759" w:type="dxa"/>
          </w:tcPr>
          <w:p w14:paraId="4BF14FE1" w14:textId="77777777" w:rsidR="00170515" w:rsidRDefault="00170515" w:rsidP="007E5C13">
            <w:pPr>
              <w:pStyle w:val="TableParagraph"/>
              <w:spacing w:after="0"/>
            </w:pPr>
            <w:r>
              <w:t xml:space="preserve">Basildon and Brentwood </w:t>
            </w:r>
          </w:p>
        </w:tc>
        <w:tc>
          <w:tcPr>
            <w:tcW w:w="2360" w:type="dxa"/>
          </w:tcPr>
          <w:p w14:paraId="039252E5" w14:textId="77777777" w:rsidR="00170515" w:rsidRDefault="00170515" w:rsidP="007E5C13">
            <w:pPr>
              <w:pStyle w:val="TableParagraph"/>
              <w:spacing w:after="0"/>
              <w:jc w:val="right"/>
            </w:pPr>
            <w:r w:rsidRPr="00170515">
              <w:t>£107,755</w:t>
            </w:r>
          </w:p>
        </w:tc>
        <w:tc>
          <w:tcPr>
            <w:tcW w:w="2325" w:type="dxa"/>
          </w:tcPr>
          <w:p w14:paraId="1F82BABD" w14:textId="77777777" w:rsidR="00170515" w:rsidRPr="00015A65" w:rsidRDefault="00170515" w:rsidP="007E5C13">
            <w:pPr>
              <w:pStyle w:val="TableParagraph"/>
              <w:spacing w:after="0"/>
              <w:jc w:val="right"/>
            </w:pPr>
            <w:r w:rsidRPr="00BB5F7F">
              <w:t>301</w:t>
            </w:r>
          </w:p>
        </w:tc>
        <w:tc>
          <w:tcPr>
            <w:tcW w:w="2325" w:type="dxa"/>
          </w:tcPr>
          <w:p w14:paraId="7542AA31" w14:textId="77777777" w:rsidR="00170515" w:rsidRPr="00015A65" w:rsidRDefault="00170515" w:rsidP="007E5C13">
            <w:pPr>
              <w:pStyle w:val="TableParagraph"/>
              <w:spacing w:after="0"/>
              <w:jc w:val="right"/>
            </w:pPr>
            <w:r w:rsidRPr="00562D4F">
              <w:t>£358</w:t>
            </w:r>
          </w:p>
        </w:tc>
      </w:tr>
      <w:tr w:rsidR="00170515" w14:paraId="0E491043" w14:textId="77777777" w:rsidTr="0004699E">
        <w:trPr>
          <w:cnfStyle w:val="000000010000" w:firstRow="0" w:lastRow="0" w:firstColumn="0" w:lastColumn="0" w:oddVBand="0" w:evenVBand="0" w:oddHBand="0" w:evenHBand="1" w:firstRowFirstColumn="0" w:firstRowLastColumn="0" w:lastRowFirstColumn="0" w:lastRowLastColumn="0"/>
        </w:trPr>
        <w:tc>
          <w:tcPr>
            <w:tcW w:w="2759" w:type="dxa"/>
          </w:tcPr>
          <w:p w14:paraId="12D68715" w14:textId="77777777" w:rsidR="00170515" w:rsidRPr="00A673B5" w:rsidRDefault="00170515" w:rsidP="007E5C13">
            <w:pPr>
              <w:pStyle w:val="TableParagraph"/>
              <w:spacing w:after="0"/>
            </w:pPr>
            <w:r w:rsidRPr="00A673B5">
              <w:t>Castle Point and Rochford</w:t>
            </w:r>
          </w:p>
        </w:tc>
        <w:tc>
          <w:tcPr>
            <w:tcW w:w="2360" w:type="dxa"/>
          </w:tcPr>
          <w:p w14:paraId="4B08ED05" w14:textId="77777777" w:rsidR="00170515" w:rsidRPr="00403DB7" w:rsidRDefault="00170515" w:rsidP="007E5C13">
            <w:pPr>
              <w:pStyle w:val="TableParagraph"/>
              <w:spacing w:after="0"/>
              <w:jc w:val="right"/>
            </w:pPr>
            <w:r w:rsidRPr="00170515">
              <w:t>£55,067</w:t>
            </w:r>
          </w:p>
        </w:tc>
        <w:tc>
          <w:tcPr>
            <w:tcW w:w="2325" w:type="dxa"/>
          </w:tcPr>
          <w:p w14:paraId="3079C218" w14:textId="77777777" w:rsidR="00170515" w:rsidRDefault="00170515" w:rsidP="007E5C13">
            <w:pPr>
              <w:pStyle w:val="TableParagraph"/>
              <w:spacing w:after="0"/>
              <w:jc w:val="right"/>
            </w:pPr>
            <w:r w:rsidRPr="00BB5F7F">
              <w:t>371</w:t>
            </w:r>
          </w:p>
        </w:tc>
        <w:tc>
          <w:tcPr>
            <w:tcW w:w="2325" w:type="dxa"/>
          </w:tcPr>
          <w:p w14:paraId="4A17CE10" w14:textId="77777777" w:rsidR="00170515" w:rsidRDefault="00170515" w:rsidP="007E5C13">
            <w:pPr>
              <w:pStyle w:val="TableParagraph"/>
              <w:spacing w:after="0"/>
              <w:jc w:val="right"/>
            </w:pPr>
            <w:r w:rsidRPr="00562D4F">
              <w:t>£148</w:t>
            </w:r>
          </w:p>
        </w:tc>
      </w:tr>
      <w:tr w:rsidR="00170515" w14:paraId="04AAD36D" w14:textId="77777777" w:rsidTr="0004699E">
        <w:trPr>
          <w:cnfStyle w:val="000000100000" w:firstRow="0" w:lastRow="0" w:firstColumn="0" w:lastColumn="0" w:oddVBand="0" w:evenVBand="0" w:oddHBand="1" w:evenHBand="0" w:firstRowFirstColumn="0" w:firstRowLastColumn="0" w:lastRowFirstColumn="0" w:lastRowLastColumn="0"/>
        </w:trPr>
        <w:tc>
          <w:tcPr>
            <w:tcW w:w="2759" w:type="dxa"/>
          </w:tcPr>
          <w:p w14:paraId="240182A7" w14:textId="77777777" w:rsidR="00170515" w:rsidRPr="00A673B5" w:rsidRDefault="00170515" w:rsidP="007E5C13">
            <w:pPr>
              <w:pStyle w:val="TableParagraph"/>
              <w:spacing w:after="0"/>
            </w:pPr>
            <w:r w:rsidRPr="00A673B5">
              <w:t>Mid Essex</w:t>
            </w:r>
          </w:p>
        </w:tc>
        <w:tc>
          <w:tcPr>
            <w:tcW w:w="2360" w:type="dxa"/>
          </w:tcPr>
          <w:p w14:paraId="68FE0FDD" w14:textId="3937B6F5" w:rsidR="00170515" w:rsidRPr="000E29CC" w:rsidRDefault="0042197B" w:rsidP="007E5C13">
            <w:pPr>
              <w:pStyle w:val="TableParagraph"/>
              <w:spacing w:after="0"/>
              <w:jc w:val="right"/>
            </w:pPr>
            <w:r w:rsidRPr="000E29CC">
              <w:t>£</w:t>
            </w:r>
            <w:r w:rsidR="00A673B5">
              <w:t>12,648</w:t>
            </w:r>
            <w:r w:rsidR="00E97AAC" w:rsidRPr="000E29CC">
              <w:rPr>
                <w:rStyle w:val="FootnoteReference"/>
              </w:rPr>
              <w:footnoteReference w:id="95"/>
            </w:r>
          </w:p>
        </w:tc>
        <w:tc>
          <w:tcPr>
            <w:tcW w:w="2325" w:type="dxa"/>
          </w:tcPr>
          <w:p w14:paraId="75B39142" w14:textId="77777777" w:rsidR="00170515" w:rsidRPr="000E29CC" w:rsidRDefault="00170515" w:rsidP="007E5C13">
            <w:pPr>
              <w:pStyle w:val="TableParagraph"/>
              <w:spacing w:after="0"/>
              <w:jc w:val="right"/>
            </w:pPr>
            <w:r w:rsidRPr="000E29CC">
              <w:t>1</w:t>
            </w:r>
            <w:r w:rsidR="005D3808" w:rsidRPr="000E29CC">
              <w:t>,</w:t>
            </w:r>
            <w:r w:rsidRPr="000E29CC">
              <w:t>4</w:t>
            </w:r>
            <w:r w:rsidR="005D3808" w:rsidRPr="000E29CC">
              <w:t>30</w:t>
            </w:r>
          </w:p>
        </w:tc>
        <w:tc>
          <w:tcPr>
            <w:tcW w:w="2325" w:type="dxa"/>
          </w:tcPr>
          <w:p w14:paraId="04D89A79" w14:textId="0BFA30CE" w:rsidR="00170515" w:rsidRPr="000E29CC" w:rsidRDefault="00170515" w:rsidP="0085563A">
            <w:pPr>
              <w:pStyle w:val="TableParagraph"/>
              <w:spacing w:after="0"/>
              <w:jc w:val="right"/>
            </w:pPr>
            <w:r w:rsidRPr="000E29CC">
              <w:t>£</w:t>
            </w:r>
            <w:r w:rsidR="0085563A" w:rsidRPr="000E29CC">
              <w:t>9</w:t>
            </w:r>
          </w:p>
        </w:tc>
      </w:tr>
      <w:tr w:rsidR="00170515" w14:paraId="1647EBE0" w14:textId="77777777" w:rsidTr="0004699E">
        <w:trPr>
          <w:cnfStyle w:val="000000010000" w:firstRow="0" w:lastRow="0" w:firstColumn="0" w:lastColumn="0" w:oddVBand="0" w:evenVBand="0" w:oddHBand="0" w:evenHBand="1" w:firstRowFirstColumn="0" w:firstRowLastColumn="0" w:lastRowFirstColumn="0" w:lastRowLastColumn="0"/>
        </w:trPr>
        <w:tc>
          <w:tcPr>
            <w:tcW w:w="2759" w:type="dxa"/>
          </w:tcPr>
          <w:p w14:paraId="287DAA4E" w14:textId="77777777" w:rsidR="00170515" w:rsidRDefault="00170515" w:rsidP="007E5C13">
            <w:pPr>
              <w:pStyle w:val="TableParagraph"/>
              <w:spacing w:after="0"/>
            </w:pPr>
            <w:r w:rsidRPr="00EE0896">
              <w:t>NE Essex – Colchester</w:t>
            </w:r>
          </w:p>
        </w:tc>
        <w:tc>
          <w:tcPr>
            <w:tcW w:w="2360" w:type="dxa"/>
          </w:tcPr>
          <w:p w14:paraId="77FB4487" w14:textId="77777777" w:rsidR="00170515" w:rsidRPr="00403DB7" w:rsidRDefault="005D3808" w:rsidP="007E5C13">
            <w:pPr>
              <w:pStyle w:val="TableParagraph"/>
              <w:spacing w:after="0"/>
              <w:jc w:val="right"/>
            </w:pPr>
            <w:r>
              <w:t>£</w:t>
            </w:r>
            <w:r w:rsidR="00170515" w:rsidRPr="00170515">
              <w:t>130,000</w:t>
            </w:r>
          </w:p>
        </w:tc>
        <w:tc>
          <w:tcPr>
            <w:tcW w:w="2325" w:type="dxa"/>
          </w:tcPr>
          <w:p w14:paraId="7D80F935" w14:textId="77777777" w:rsidR="00170515" w:rsidRDefault="00170515" w:rsidP="007E5C13">
            <w:pPr>
              <w:pStyle w:val="TableParagraph"/>
              <w:spacing w:after="0"/>
              <w:jc w:val="right"/>
            </w:pPr>
            <w:r w:rsidRPr="00BB5F7F">
              <w:t>2</w:t>
            </w:r>
            <w:r w:rsidR="005D3808">
              <w:t>,</w:t>
            </w:r>
            <w:r w:rsidRPr="00BB5F7F">
              <w:t>640</w:t>
            </w:r>
          </w:p>
        </w:tc>
        <w:tc>
          <w:tcPr>
            <w:tcW w:w="2325" w:type="dxa"/>
          </w:tcPr>
          <w:p w14:paraId="57E5645B" w14:textId="77777777" w:rsidR="00170515" w:rsidRDefault="00170515" w:rsidP="007E5C13">
            <w:pPr>
              <w:pStyle w:val="TableParagraph"/>
              <w:spacing w:after="0"/>
              <w:jc w:val="right"/>
            </w:pPr>
            <w:r w:rsidRPr="00562D4F">
              <w:t>£49</w:t>
            </w:r>
          </w:p>
        </w:tc>
      </w:tr>
      <w:tr w:rsidR="00170515" w14:paraId="6D635853" w14:textId="77777777" w:rsidTr="0004699E">
        <w:trPr>
          <w:cnfStyle w:val="000000100000" w:firstRow="0" w:lastRow="0" w:firstColumn="0" w:lastColumn="0" w:oddVBand="0" w:evenVBand="0" w:oddHBand="1" w:evenHBand="0" w:firstRowFirstColumn="0" w:firstRowLastColumn="0" w:lastRowFirstColumn="0" w:lastRowLastColumn="0"/>
        </w:trPr>
        <w:tc>
          <w:tcPr>
            <w:tcW w:w="2759" w:type="dxa"/>
          </w:tcPr>
          <w:p w14:paraId="6030AAAB" w14:textId="77777777" w:rsidR="00170515" w:rsidRDefault="00170515" w:rsidP="007E5C13">
            <w:pPr>
              <w:pStyle w:val="TableParagraph"/>
              <w:spacing w:after="0"/>
            </w:pPr>
            <w:r w:rsidRPr="00EE0896">
              <w:t>West Essex</w:t>
            </w:r>
          </w:p>
        </w:tc>
        <w:tc>
          <w:tcPr>
            <w:tcW w:w="2360" w:type="dxa"/>
          </w:tcPr>
          <w:p w14:paraId="46104819" w14:textId="77777777" w:rsidR="00170515" w:rsidRPr="003F5054" w:rsidRDefault="00170515" w:rsidP="007E5C13">
            <w:pPr>
              <w:pStyle w:val="TableParagraph"/>
              <w:spacing w:after="0"/>
              <w:jc w:val="right"/>
              <w:rPr>
                <w:highlight w:val="yellow"/>
              </w:rPr>
            </w:pPr>
            <w:r w:rsidRPr="00170515">
              <w:t>£166,916</w:t>
            </w:r>
          </w:p>
        </w:tc>
        <w:tc>
          <w:tcPr>
            <w:tcW w:w="2325" w:type="dxa"/>
          </w:tcPr>
          <w:p w14:paraId="79AAC916" w14:textId="77777777" w:rsidR="00170515" w:rsidRDefault="00170515" w:rsidP="007E5C13">
            <w:pPr>
              <w:pStyle w:val="TableParagraph"/>
              <w:spacing w:after="0"/>
              <w:jc w:val="right"/>
            </w:pPr>
            <w:r w:rsidRPr="00BB5F7F">
              <w:t>4</w:t>
            </w:r>
            <w:r w:rsidR="005D3808">
              <w:t>44</w:t>
            </w:r>
          </w:p>
        </w:tc>
        <w:tc>
          <w:tcPr>
            <w:tcW w:w="2325" w:type="dxa"/>
          </w:tcPr>
          <w:p w14:paraId="27F14150" w14:textId="77777777" w:rsidR="00170515" w:rsidRDefault="00170515" w:rsidP="007E5C13">
            <w:pPr>
              <w:pStyle w:val="TableParagraph"/>
              <w:spacing w:after="0"/>
              <w:jc w:val="right"/>
            </w:pPr>
            <w:r w:rsidRPr="00562D4F">
              <w:t>£3</w:t>
            </w:r>
            <w:r w:rsidR="005D3808">
              <w:t>76</w:t>
            </w:r>
          </w:p>
        </w:tc>
      </w:tr>
      <w:tr w:rsidR="00170515" w14:paraId="0D2658B3" w14:textId="77777777" w:rsidTr="0004699E">
        <w:trPr>
          <w:cnfStyle w:val="000000010000" w:firstRow="0" w:lastRow="0" w:firstColumn="0" w:lastColumn="0" w:oddVBand="0" w:evenVBand="0" w:oddHBand="0" w:evenHBand="1" w:firstRowFirstColumn="0" w:firstRowLastColumn="0" w:lastRowFirstColumn="0" w:lastRowLastColumn="0"/>
        </w:trPr>
        <w:tc>
          <w:tcPr>
            <w:tcW w:w="2759" w:type="dxa"/>
          </w:tcPr>
          <w:p w14:paraId="1740662F" w14:textId="77777777" w:rsidR="00170515" w:rsidRPr="00EE0896" w:rsidRDefault="00170515" w:rsidP="007E5C13">
            <w:pPr>
              <w:pStyle w:val="TableParagraph"/>
              <w:spacing w:after="0"/>
            </w:pPr>
            <w:r>
              <w:t>Southend</w:t>
            </w:r>
          </w:p>
        </w:tc>
        <w:tc>
          <w:tcPr>
            <w:tcW w:w="2360" w:type="dxa"/>
          </w:tcPr>
          <w:p w14:paraId="1C9CE0A2" w14:textId="7475BC05" w:rsidR="00170515" w:rsidRPr="004F7D99" w:rsidRDefault="00A673B5" w:rsidP="007E5C13">
            <w:pPr>
              <w:pStyle w:val="TableParagraph"/>
              <w:spacing w:after="0"/>
              <w:jc w:val="right"/>
            </w:pPr>
            <w:r>
              <w:t>Not available</w:t>
            </w:r>
          </w:p>
        </w:tc>
        <w:tc>
          <w:tcPr>
            <w:tcW w:w="2325" w:type="dxa"/>
          </w:tcPr>
          <w:p w14:paraId="49626C3C" w14:textId="3363126D" w:rsidR="00170515" w:rsidRDefault="00A673B5" w:rsidP="007E5C13">
            <w:pPr>
              <w:pStyle w:val="TableParagraph"/>
              <w:spacing w:after="0"/>
              <w:jc w:val="right"/>
            </w:pPr>
            <w:r>
              <w:t>-</w:t>
            </w:r>
          </w:p>
        </w:tc>
        <w:tc>
          <w:tcPr>
            <w:tcW w:w="2325" w:type="dxa"/>
          </w:tcPr>
          <w:p w14:paraId="5FDF1B47" w14:textId="7AC6A85A" w:rsidR="00170515" w:rsidRDefault="00A673B5" w:rsidP="007E5C13">
            <w:pPr>
              <w:pStyle w:val="TableParagraph"/>
              <w:spacing w:after="0"/>
              <w:jc w:val="right"/>
            </w:pPr>
            <w:r>
              <w:t>-</w:t>
            </w:r>
          </w:p>
        </w:tc>
      </w:tr>
      <w:tr w:rsidR="00A673B5" w14:paraId="6A83F2EA" w14:textId="77777777" w:rsidTr="0004699E">
        <w:trPr>
          <w:cnfStyle w:val="000000100000" w:firstRow="0" w:lastRow="0" w:firstColumn="0" w:lastColumn="0" w:oddVBand="0" w:evenVBand="0" w:oddHBand="1" w:evenHBand="0" w:firstRowFirstColumn="0" w:firstRowLastColumn="0" w:lastRowFirstColumn="0" w:lastRowLastColumn="0"/>
        </w:trPr>
        <w:tc>
          <w:tcPr>
            <w:tcW w:w="2759" w:type="dxa"/>
          </w:tcPr>
          <w:p w14:paraId="13257FB4" w14:textId="77777777" w:rsidR="00A673B5" w:rsidRPr="00EE21BF" w:rsidRDefault="00A673B5" w:rsidP="00A673B5">
            <w:pPr>
              <w:pStyle w:val="TableParagraph"/>
              <w:spacing w:after="0"/>
              <w:rPr>
                <w:b/>
                <w:highlight w:val="yellow"/>
              </w:rPr>
            </w:pPr>
            <w:r w:rsidRPr="00A673B5">
              <w:rPr>
                <w:b/>
              </w:rPr>
              <w:t>Total</w:t>
            </w:r>
          </w:p>
        </w:tc>
        <w:tc>
          <w:tcPr>
            <w:tcW w:w="2360" w:type="dxa"/>
          </w:tcPr>
          <w:p w14:paraId="20A0EA78" w14:textId="3F1E39DA" w:rsidR="00A673B5" w:rsidRPr="00A673B5" w:rsidRDefault="00A673B5" w:rsidP="00A673B5">
            <w:pPr>
              <w:pStyle w:val="TableParagraph"/>
              <w:spacing w:after="0"/>
              <w:jc w:val="right"/>
              <w:rPr>
                <w:b/>
                <w:highlight w:val="yellow"/>
              </w:rPr>
            </w:pPr>
            <w:r w:rsidRPr="00A673B5">
              <w:rPr>
                <w:b/>
              </w:rPr>
              <w:t>£472,386</w:t>
            </w:r>
          </w:p>
        </w:tc>
        <w:tc>
          <w:tcPr>
            <w:tcW w:w="2325" w:type="dxa"/>
          </w:tcPr>
          <w:p w14:paraId="584FBB69" w14:textId="059E261B" w:rsidR="00A673B5" w:rsidRPr="00A673B5" w:rsidRDefault="00A673B5" w:rsidP="00A673B5">
            <w:pPr>
              <w:pStyle w:val="TableParagraph"/>
              <w:spacing w:after="0"/>
              <w:jc w:val="right"/>
              <w:rPr>
                <w:b/>
                <w:highlight w:val="yellow"/>
              </w:rPr>
            </w:pPr>
            <w:r w:rsidRPr="00A673B5">
              <w:rPr>
                <w:b/>
              </w:rPr>
              <w:t>£5,186</w:t>
            </w:r>
          </w:p>
        </w:tc>
        <w:tc>
          <w:tcPr>
            <w:tcW w:w="2325" w:type="dxa"/>
          </w:tcPr>
          <w:p w14:paraId="05D57F5E" w14:textId="1F289F58" w:rsidR="00A673B5" w:rsidRPr="00A673B5" w:rsidRDefault="00A673B5" w:rsidP="00A673B5">
            <w:pPr>
              <w:pStyle w:val="TableParagraph"/>
              <w:spacing w:after="0"/>
              <w:jc w:val="right"/>
              <w:rPr>
                <w:b/>
                <w:highlight w:val="yellow"/>
              </w:rPr>
            </w:pPr>
            <w:r w:rsidRPr="00A673B5">
              <w:rPr>
                <w:b/>
              </w:rPr>
              <w:t>£91</w:t>
            </w:r>
          </w:p>
        </w:tc>
      </w:tr>
    </w:tbl>
    <w:p w14:paraId="630AFCEF" w14:textId="77777777" w:rsidR="00382852" w:rsidRDefault="00170515" w:rsidP="009F3F52">
      <w:pPr>
        <w:pStyle w:val="Quote"/>
      </w:pPr>
      <w:r>
        <w:t>Source: Provided by delivery organisatio</w:t>
      </w:r>
      <w:r w:rsidR="009F3F52">
        <w:t>n to RSM PACEC (May/ June 2017)</w:t>
      </w:r>
    </w:p>
    <w:p w14:paraId="37963551" w14:textId="77777777" w:rsidR="005978E2" w:rsidRDefault="005978E2" w:rsidP="00AE785D">
      <w:pPr>
        <w:pStyle w:val="BodyText-parastyle"/>
      </w:pPr>
      <w:r>
        <w:t xml:space="preserve">In addition to cost per </w:t>
      </w:r>
      <w:r w:rsidR="003B56B3">
        <w:t>service user</w:t>
      </w:r>
      <w:r>
        <w:t xml:space="preserve"> the overall programme has also provided VFM in the following ways:</w:t>
      </w:r>
    </w:p>
    <w:p w14:paraId="18882BC3" w14:textId="6E471F18" w:rsidR="005978E2" w:rsidRDefault="00D8543D" w:rsidP="00D53262">
      <w:pPr>
        <w:pStyle w:val="ListParagraph"/>
      </w:pPr>
      <w:r>
        <w:t>Training of volunteers / v</w:t>
      </w:r>
      <w:r w:rsidR="005E1954">
        <w:t>olunteer time</w:t>
      </w:r>
      <w:r w:rsidR="0045527A">
        <w:t xml:space="preserve"> in delivering the Social Prescribing projects</w:t>
      </w:r>
      <w:r w:rsidR="00104F76">
        <w:t xml:space="preserve"> </w:t>
      </w:r>
      <w:r>
        <w:t xml:space="preserve">– </w:t>
      </w:r>
      <w:r w:rsidR="00B3303A">
        <w:t>i</w:t>
      </w:r>
      <w:r w:rsidR="00090833">
        <w:t>n total 195</w:t>
      </w:r>
      <w:r w:rsidR="00B3303A" w:rsidRPr="00B3303A">
        <w:t xml:space="preserve"> (active) and 285 (inactive) volunteers and SPCs have been involved in the delivery of the Social Prescribing projects</w:t>
      </w:r>
      <w:r w:rsidR="00104F76">
        <w:t xml:space="preserve">. </w:t>
      </w:r>
      <w:r w:rsidR="00ED3E57">
        <w:t>Of the 19</w:t>
      </w:r>
      <w:r w:rsidR="00B3303A">
        <w:t>5</w:t>
      </w:r>
      <w:r w:rsidR="00ED3E57">
        <w:t xml:space="preserve"> active volunteers 153 are SPCs and 4</w:t>
      </w:r>
      <w:r w:rsidR="00B3303A">
        <w:t>2</w:t>
      </w:r>
      <w:r w:rsidR="00ED3E57">
        <w:t xml:space="preserve"> volunteers</w:t>
      </w:r>
      <w:r w:rsidR="00382852">
        <w:t xml:space="preserve">. </w:t>
      </w:r>
      <w:r w:rsidR="00104F76" w:rsidRPr="00104F76">
        <w:t>The New Economy Manchester model attributes a value of £162 to someone taking u</w:t>
      </w:r>
      <w:r w:rsidR="00104F76">
        <w:t xml:space="preserve">p a volunteering opportunity. Based on </w:t>
      </w:r>
      <w:r w:rsidR="00ED3E57">
        <w:t>4</w:t>
      </w:r>
      <w:r w:rsidR="00090833">
        <w:t>2</w:t>
      </w:r>
      <w:r w:rsidR="00ED3E57">
        <w:t xml:space="preserve"> </w:t>
      </w:r>
      <w:r w:rsidR="00104F76">
        <w:t>active volunteers t</w:t>
      </w:r>
      <w:r w:rsidR="00104F76" w:rsidRPr="00104F76">
        <w:t xml:space="preserve">his amounts to </w:t>
      </w:r>
      <w:r w:rsidR="00382852">
        <w:t xml:space="preserve">a value of </w:t>
      </w:r>
      <w:r w:rsidR="00090833">
        <w:t>£</w:t>
      </w:r>
      <w:r w:rsidR="00ED3E57">
        <w:t>6,</w:t>
      </w:r>
      <w:r w:rsidR="00090833">
        <w:t>804</w:t>
      </w:r>
      <w:r w:rsidR="00104F76" w:rsidRPr="00104F76">
        <w:t>.</w:t>
      </w:r>
    </w:p>
    <w:p w14:paraId="302FA36D" w14:textId="4EF5802C" w:rsidR="000F50F9" w:rsidRDefault="0045527A" w:rsidP="000F50F9">
      <w:pPr>
        <w:pStyle w:val="ListParagraph"/>
      </w:pPr>
      <w:r>
        <w:t xml:space="preserve">Volunteer placement in other organisations - </w:t>
      </w:r>
      <w:r w:rsidRPr="0045527A">
        <w:t xml:space="preserve">in addition to placement within </w:t>
      </w:r>
      <w:r>
        <w:t xml:space="preserve">Social Prescribing project volunteer roles, </w:t>
      </w:r>
      <w:r w:rsidRPr="0045527A">
        <w:t xml:space="preserve">individuals </w:t>
      </w:r>
      <w:r>
        <w:t xml:space="preserve">have also been placed </w:t>
      </w:r>
      <w:r w:rsidRPr="0045527A">
        <w:t xml:space="preserve">in volunteering roles within other community groups.  </w:t>
      </w:r>
    </w:p>
    <w:p w14:paraId="11917946" w14:textId="77777777" w:rsidR="00D8543D" w:rsidRDefault="00D8543D" w:rsidP="00D53262">
      <w:pPr>
        <w:pStyle w:val="ListParagraph"/>
      </w:pPr>
      <w:r>
        <w:t xml:space="preserve">In kind contributions – for </w:t>
      </w:r>
      <w:r w:rsidR="00104F76">
        <w:t xml:space="preserve">example: </w:t>
      </w:r>
    </w:p>
    <w:p w14:paraId="14E630D9" w14:textId="77777777" w:rsidR="00D8543D" w:rsidRDefault="00040454" w:rsidP="00D53262">
      <w:pPr>
        <w:pStyle w:val="-bullet"/>
      </w:pPr>
      <w:r>
        <w:t>Organisations</w:t>
      </w:r>
      <w:r w:rsidR="00D8543D">
        <w:t xml:space="preserve"> that have allowed staff to attend training for </w:t>
      </w:r>
      <w:r w:rsidR="00426E1D">
        <w:t>SPCs</w:t>
      </w:r>
      <w:r w:rsidR="00AA63A6">
        <w:t>;</w:t>
      </w:r>
    </w:p>
    <w:p w14:paraId="5DECB412" w14:textId="77777777" w:rsidR="00D8543D" w:rsidRDefault="00D8543D" w:rsidP="00D53262">
      <w:pPr>
        <w:pStyle w:val="-bullet"/>
      </w:pPr>
      <w:r>
        <w:t>Organisations that were involved in the codesign process for Mid Essex</w:t>
      </w:r>
      <w:r w:rsidR="00AA63A6">
        <w:t>; and</w:t>
      </w:r>
    </w:p>
    <w:p w14:paraId="5CC4FC11" w14:textId="77777777" w:rsidR="005978E2" w:rsidRDefault="00D8543D" w:rsidP="00D53262">
      <w:pPr>
        <w:pStyle w:val="-bullet"/>
      </w:pPr>
      <w:r>
        <w:t>Organisations that are board members of the Living Safe and Well Board and / or the Connect Well operation sub group</w:t>
      </w:r>
      <w:r w:rsidR="00AA63A6">
        <w:t>.</w:t>
      </w:r>
    </w:p>
    <w:p w14:paraId="0C06F6BD" w14:textId="3FEFAB3E" w:rsidR="0051334C" w:rsidRDefault="0045527A" w:rsidP="00D53262">
      <w:pPr>
        <w:pStyle w:val="ListParagraph"/>
      </w:pPr>
      <w:r w:rsidRPr="0045527A">
        <w:t xml:space="preserve">Integration </w:t>
      </w:r>
      <w:r w:rsidR="00E747AE">
        <w:t xml:space="preserve">within the community </w:t>
      </w:r>
      <w:r w:rsidRPr="0045527A">
        <w:t xml:space="preserve">– staff </w:t>
      </w:r>
      <w:r>
        <w:t>in each of the project</w:t>
      </w:r>
      <w:r w:rsidR="004E6781">
        <w:t>s</w:t>
      </w:r>
      <w:r>
        <w:t xml:space="preserve"> have </w:t>
      </w:r>
      <w:r w:rsidRPr="0045527A">
        <w:t>conducted outreach at a number of venues</w:t>
      </w:r>
      <w:r>
        <w:t xml:space="preserve">. This is a more prominent feature in those projects that receive referrals from more sources / other </w:t>
      </w:r>
      <w:r w:rsidR="00302E5C">
        <w:t>than GP</w:t>
      </w:r>
      <w:r>
        <w:t xml:space="preserve"> practices, with contacts taking </w:t>
      </w:r>
      <w:r w:rsidR="00302E5C">
        <w:t>place at</w:t>
      </w:r>
      <w:r w:rsidRPr="0045527A">
        <w:t xml:space="preserve"> GP surgeries, libraries and </w:t>
      </w:r>
      <w:r w:rsidR="003C333D" w:rsidRPr="0045527A">
        <w:t>one-off</w:t>
      </w:r>
      <w:r w:rsidRPr="0045527A">
        <w:t xml:space="preserve"> events, </w:t>
      </w:r>
      <w:r w:rsidR="0051334C">
        <w:t>as well as the training provided to Champions in a number of organis</w:t>
      </w:r>
      <w:r w:rsidR="00BD7D3E">
        <w:t>ations. The high number of self-</w:t>
      </w:r>
      <w:r w:rsidR="0051334C">
        <w:t xml:space="preserve">referrals in a number of projects suggested this has resulted in a </w:t>
      </w:r>
      <w:r w:rsidR="00302E5C">
        <w:t>wider awareness of Social Prescribing in the local community. In addition, in those models where staff have been linked more closely with GP practices (e.g. Basildon and Brentwood and West Essex) feedback from practice staff highlighted that good communication and relationships with staff delivering the project (and in the West Essex project having the PIC as part of the</w:t>
      </w:r>
      <w:r w:rsidR="0072425E">
        <w:t xml:space="preserve"> Multi-Disciplinary Team </w:t>
      </w:r>
      <w:r w:rsidR="00302E5C">
        <w:t xml:space="preserve"> meetings) has helped to increase awareness of Social Prescribing and what it can offer</w:t>
      </w:r>
      <w:r w:rsidR="0051334C">
        <w:t>,</w:t>
      </w:r>
      <w:r w:rsidR="00302E5C">
        <w:t xml:space="preserve"> however it was also noted that </w:t>
      </w:r>
      <w:r w:rsidR="0051334C">
        <w:t xml:space="preserve">due to competing demands any new initiative will always </w:t>
      </w:r>
      <w:r w:rsidR="00302E5C">
        <w:t xml:space="preserve">take time to </w:t>
      </w:r>
      <w:r w:rsidR="00E747AE">
        <w:t>embed/ be picked up on</w:t>
      </w:r>
    </w:p>
    <w:p w14:paraId="02346CFB" w14:textId="77777777" w:rsidR="00E747AE" w:rsidRPr="00E747AE" w:rsidRDefault="00E747AE" w:rsidP="00D53262">
      <w:pPr>
        <w:pStyle w:val="ListParagraph"/>
      </w:pPr>
      <w:r w:rsidRPr="00E747AE">
        <w:t xml:space="preserve">Provides an integrated service – by acting as a conduit CAVS inter-refers to other third sector and statutory organisations as appropriate and where specific specialisms and skills are needed to support individuals. It is was noted that while the scheme is designed to prevent crisis, where they engage with clients in ‘extreme’ situation (i.e. potential suicide) staff know who to go to in a professional capacity to ensure that a client is supported appropriately. </w:t>
      </w:r>
    </w:p>
    <w:p w14:paraId="30459521" w14:textId="77777777" w:rsidR="0051334C" w:rsidRDefault="00104F76" w:rsidP="00D53262">
      <w:pPr>
        <w:pStyle w:val="ListParagraph"/>
      </w:pPr>
      <w:r>
        <w:t>Additional funding leveraged – in addition to TCA and Public Health monies an additional £</w:t>
      </w:r>
      <w:r w:rsidRPr="00104F76">
        <w:t>155,040</w:t>
      </w:r>
      <w:r>
        <w:t xml:space="preserve"> was leveraged </w:t>
      </w:r>
      <w:r w:rsidRPr="00601984">
        <w:t xml:space="preserve">from CCGs, OPCC and district councils (see section </w:t>
      </w:r>
      <w:r w:rsidR="003702C8">
        <w:t>8</w:t>
      </w:r>
      <w:r w:rsidRPr="00601984">
        <w:t>.2)</w:t>
      </w:r>
    </w:p>
    <w:p w14:paraId="7876D274" w14:textId="18FEC404" w:rsidR="00335DB3" w:rsidRDefault="00335DB3" w:rsidP="00335DB3">
      <w:pPr>
        <w:pStyle w:val="Heading2"/>
        <w:numPr>
          <w:ilvl w:val="1"/>
          <w:numId w:val="1"/>
        </w:numPr>
        <w:ind w:left="709" w:hanging="709"/>
      </w:pPr>
      <w:bookmarkStart w:id="63" w:name="_Toc483217749"/>
      <w:bookmarkStart w:id="64" w:name="_Toc484988247"/>
      <w:bookmarkStart w:id="65" w:name="_Toc485201584"/>
      <w:bookmarkStart w:id="66" w:name="_Toc497934293"/>
      <w:r>
        <w:t>Cost Avoidance</w:t>
      </w:r>
      <w:bookmarkEnd w:id="63"/>
      <w:bookmarkEnd w:id="64"/>
      <w:bookmarkEnd w:id="65"/>
      <w:bookmarkEnd w:id="66"/>
    </w:p>
    <w:p w14:paraId="01749738" w14:textId="77777777" w:rsidR="00335DB3" w:rsidRDefault="00F34F89" w:rsidP="00AE785D">
      <w:pPr>
        <w:pStyle w:val="BodyText-parastyle"/>
      </w:pPr>
      <w:r>
        <w:t>The following section</w:t>
      </w:r>
      <w:r w:rsidR="00335DB3" w:rsidRPr="00DB6403">
        <w:t xml:space="preserve"> outlines the cost-benefits for primary, secondary and social care that is the focus of this evaluation. The types of costs considered are those directly</w:t>
      </w:r>
      <w:r w:rsidR="00335DB3">
        <w:t xml:space="preserve"> relating to the use of primary, secondary and social care services to address the requirements of the evaluation terms of reference, specifically:</w:t>
      </w:r>
    </w:p>
    <w:p w14:paraId="70D9E22F" w14:textId="77777777" w:rsidR="00335DB3" w:rsidRDefault="00335DB3" w:rsidP="00D53262">
      <w:pPr>
        <w:pStyle w:val="ListParagraph"/>
      </w:pPr>
      <w:r>
        <w:t>Hours spent with the GP</w:t>
      </w:r>
      <w:r w:rsidR="00A43718">
        <w:t xml:space="preserve">; </w:t>
      </w:r>
    </w:p>
    <w:p w14:paraId="71C710AB" w14:textId="77777777" w:rsidR="00335DB3" w:rsidRDefault="00335DB3" w:rsidP="00D53262">
      <w:pPr>
        <w:pStyle w:val="ListParagraph"/>
      </w:pPr>
      <w:r>
        <w:t>Prescriptions for medication received</w:t>
      </w:r>
      <w:r w:rsidR="00A43718">
        <w:t>;</w:t>
      </w:r>
      <w:r>
        <w:t xml:space="preserve"> </w:t>
      </w:r>
    </w:p>
    <w:p w14:paraId="7CD77591" w14:textId="77777777" w:rsidR="00335DB3" w:rsidRDefault="00335DB3" w:rsidP="00D53262">
      <w:pPr>
        <w:pStyle w:val="ListParagraph"/>
      </w:pPr>
      <w:r>
        <w:t>Hours of counselling services received</w:t>
      </w:r>
      <w:r w:rsidR="00A43718">
        <w:t>;</w:t>
      </w:r>
      <w:r>
        <w:t xml:space="preserve"> </w:t>
      </w:r>
    </w:p>
    <w:p w14:paraId="70C628D8" w14:textId="77777777" w:rsidR="00335DB3" w:rsidRDefault="00335DB3" w:rsidP="00D53262">
      <w:pPr>
        <w:pStyle w:val="ListParagraph"/>
      </w:pPr>
      <w:r>
        <w:t>Attendance at Mental Health support in the community</w:t>
      </w:r>
      <w:r w:rsidR="00A43718">
        <w:t>;</w:t>
      </w:r>
    </w:p>
    <w:p w14:paraId="7D19D955" w14:textId="77777777" w:rsidR="00335DB3" w:rsidRDefault="00335DB3" w:rsidP="00D53262">
      <w:pPr>
        <w:pStyle w:val="ListParagraph"/>
      </w:pPr>
      <w:r>
        <w:t>Attendance at A+E</w:t>
      </w:r>
      <w:r w:rsidR="00A43718">
        <w:t>;</w:t>
      </w:r>
    </w:p>
    <w:p w14:paraId="63B37D40" w14:textId="77777777" w:rsidR="00335DB3" w:rsidRDefault="00335DB3" w:rsidP="00D53262">
      <w:pPr>
        <w:pStyle w:val="ListParagraph"/>
      </w:pPr>
      <w:r>
        <w:t>Outpatient appointments attended</w:t>
      </w:r>
      <w:r w:rsidR="00A43718">
        <w:t>;</w:t>
      </w:r>
    </w:p>
    <w:p w14:paraId="77D8E553" w14:textId="77777777" w:rsidR="00335DB3" w:rsidRDefault="00335DB3" w:rsidP="00D53262">
      <w:pPr>
        <w:pStyle w:val="ListParagraph"/>
      </w:pPr>
      <w:r>
        <w:t>Admittance to hospital</w:t>
      </w:r>
      <w:r w:rsidR="00A43718">
        <w:t>;</w:t>
      </w:r>
      <w:r>
        <w:t xml:space="preserve"> </w:t>
      </w:r>
    </w:p>
    <w:p w14:paraId="56E2A2A1" w14:textId="77777777" w:rsidR="00335DB3" w:rsidRDefault="00335DB3" w:rsidP="00D53262">
      <w:pPr>
        <w:pStyle w:val="ListParagraph"/>
      </w:pPr>
      <w:r>
        <w:t>Hours of support received from a social worker</w:t>
      </w:r>
      <w:r w:rsidR="00A43718">
        <w:t>; and</w:t>
      </w:r>
    </w:p>
    <w:p w14:paraId="4F85CF88" w14:textId="77777777" w:rsidR="00B565E9" w:rsidRPr="00B565E9" w:rsidRDefault="00335DB3" w:rsidP="00D53262">
      <w:pPr>
        <w:pStyle w:val="ListParagraph"/>
      </w:pPr>
      <w:r>
        <w:t>Social Worker Support</w:t>
      </w:r>
      <w:r w:rsidR="00A43718">
        <w:t>.</w:t>
      </w:r>
    </w:p>
    <w:p w14:paraId="5B777477" w14:textId="77777777" w:rsidR="00335DB3" w:rsidRDefault="00335DB3" w:rsidP="00AE785D">
      <w:pPr>
        <w:pStyle w:val="BodyText-parastylebold"/>
      </w:pPr>
      <w:r>
        <w:t>Methodology</w:t>
      </w:r>
    </w:p>
    <w:p w14:paraId="10BBCDD4" w14:textId="77777777" w:rsidR="00335DB3" w:rsidRDefault="00335DB3" w:rsidP="00AE785D">
      <w:pPr>
        <w:pStyle w:val="BodyText-parastyle"/>
      </w:pPr>
      <w:r>
        <w:t>Data from the RSM PACEC survey on reduced use of primary, secondary and social care services was costed using the 2015/16 fiscal values from the New Economy Manchester Unit Cost Database.</w:t>
      </w:r>
      <w:r>
        <w:rPr>
          <w:rStyle w:val="FootnoteReference"/>
        </w:rPr>
        <w:footnoteReference w:id="96"/>
      </w:r>
      <w:r>
        <w:t xml:space="preserve"> These values represent </w:t>
      </w:r>
      <w:r w:rsidRPr="009A461A">
        <w:t>national costs derived from government reports and academic studies</w:t>
      </w:r>
      <w:r>
        <w:t xml:space="preserve"> and are available for</w:t>
      </w:r>
      <w:r w:rsidRPr="00186FD0">
        <w:t xml:space="preserve"> analysts to use to apply Cost Benefit Analysis to projects and programmes</w:t>
      </w:r>
      <w:r>
        <w:t xml:space="preserve">. The values are used to support the cost benefit analysis model </w:t>
      </w:r>
      <w:r w:rsidRPr="00186FD0">
        <w:t xml:space="preserve">developed with assistance from </w:t>
      </w:r>
      <w:r>
        <w:t xml:space="preserve">a </w:t>
      </w:r>
      <w:r w:rsidRPr="00186FD0">
        <w:t xml:space="preserve">Technical Advisory Group </w:t>
      </w:r>
      <w:r>
        <w:t>(</w:t>
      </w:r>
      <w:r w:rsidRPr="00186FD0">
        <w:t>joint group of analysts from Central Government and G</w:t>
      </w:r>
      <w:r>
        <w:t xml:space="preserve">reater </w:t>
      </w:r>
      <w:r w:rsidRPr="00186FD0">
        <w:t>M</w:t>
      </w:r>
      <w:r>
        <w:t xml:space="preserve">anchester). </w:t>
      </w:r>
    </w:p>
    <w:p w14:paraId="0FD3F444" w14:textId="77777777" w:rsidR="00335DB3" w:rsidRDefault="0071155F" w:rsidP="00AE785D">
      <w:pPr>
        <w:pStyle w:val="BodyText-parastyle"/>
      </w:pPr>
      <w:r w:rsidRPr="0071155F">
        <w:t>The NET cost avoidance values were established by calculating the difference between the activity reported at baseline and follow-up which was then multiplied by the fiscal value associated with that activity</w:t>
      </w:r>
      <w:r w:rsidR="00335DB3">
        <w:t xml:space="preserve">. For example, the difference in reported number of hours spent with the GP at baseline and follow-up was multiplied by the fiscal value for GP cost per hour. </w:t>
      </w:r>
      <w:r w:rsidRPr="0071155F">
        <w:t>This takes into account both reductions and increases in service use reported to provide a net cost avoidance value</w:t>
      </w:r>
      <w:r>
        <w:t>.</w:t>
      </w:r>
    </w:p>
    <w:p w14:paraId="514E9BA9" w14:textId="77777777" w:rsidR="00F34F89" w:rsidRDefault="00335DB3" w:rsidP="00AE785D">
      <w:pPr>
        <w:pStyle w:val="BodyText-parastyle"/>
      </w:pPr>
      <w:r w:rsidRPr="00176501">
        <w:t xml:space="preserve">As noted in </w:t>
      </w:r>
      <w:r w:rsidRPr="00601984">
        <w:t xml:space="preserve">section </w:t>
      </w:r>
      <w:r w:rsidR="003702C8">
        <w:t>6.4</w:t>
      </w:r>
      <w:r w:rsidRPr="00176501">
        <w:t xml:space="preserve"> the survey sample is not representative of the entire population and findings should be treated with caution as only providing an illustration of the types of cost-benefits that might occur more widely as a result of the project in the longer term.</w:t>
      </w:r>
      <w:r w:rsidR="00F34F89">
        <w:t xml:space="preserve"> </w:t>
      </w:r>
      <w:r w:rsidR="00B565E9">
        <w:t xml:space="preserve">In addition, the data relates to </w:t>
      </w:r>
      <w:r w:rsidR="00B565E9" w:rsidRPr="00B565E9">
        <w:t>3</w:t>
      </w:r>
      <w:r w:rsidR="00B565E9">
        <w:t xml:space="preserve"> </w:t>
      </w:r>
      <w:r w:rsidR="00B565E9" w:rsidRPr="00B565E9">
        <w:t>m</w:t>
      </w:r>
      <w:r w:rsidR="00B565E9">
        <w:t>onths</w:t>
      </w:r>
      <w:r w:rsidR="00B565E9" w:rsidRPr="00B565E9">
        <w:t xml:space="preserve"> before and after referral due to time constraints </w:t>
      </w:r>
      <w:r w:rsidR="00B565E9">
        <w:t xml:space="preserve">for the purpose of evaluation and ideally data would </w:t>
      </w:r>
      <w:r w:rsidR="00A43718">
        <w:t xml:space="preserve">be </w:t>
      </w:r>
      <w:r w:rsidR="00B565E9">
        <w:t xml:space="preserve">collected at </w:t>
      </w:r>
      <w:r w:rsidR="00B565E9" w:rsidRPr="00B565E9">
        <w:t>12</w:t>
      </w:r>
      <w:r w:rsidR="00B565E9">
        <w:t xml:space="preserve"> </w:t>
      </w:r>
      <w:r w:rsidR="00B565E9" w:rsidRPr="00B565E9">
        <w:t>m</w:t>
      </w:r>
      <w:r w:rsidR="00B565E9">
        <w:t>onths</w:t>
      </w:r>
      <w:r w:rsidR="00B565E9" w:rsidRPr="00B565E9">
        <w:t xml:space="preserve"> </w:t>
      </w:r>
      <w:r w:rsidR="00A43718">
        <w:t xml:space="preserve">to </w:t>
      </w:r>
      <w:r w:rsidR="00B565E9" w:rsidRPr="00B565E9">
        <w:t>be more robust and reliable</w:t>
      </w:r>
      <w:r w:rsidR="00B565E9">
        <w:t>.</w:t>
      </w:r>
    </w:p>
    <w:p w14:paraId="4FB67CC2" w14:textId="77777777" w:rsidR="00382852" w:rsidRDefault="00F34F89" w:rsidP="00AE785D">
      <w:pPr>
        <w:pStyle w:val="BodyText-parastyle"/>
      </w:pPr>
      <w:r>
        <w:t>The survey findings relate only to the Basildon and Brentwood; Castle Point and Rochford; Mid Essex; North East Essex (My Social Prescription); and West Essex projects. Therefore any scaled up / estimated data is based on the total number of people supported for each of these projects (which excludes Southend</w:t>
      </w:r>
      <w:r w:rsidR="0049098A">
        <w:t xml:space="preserve"> and Tendring</w:t>
      </w:r>
      <w:r>
        <w:t xml:space="preserve">). </w:t>
      </w:r>
      <w:r w:rsidR="00382852">
        <w:t xml:space="preserve"> </w:t>
      </w:r>
    </w:p>
    <w:p w14:paraId="26DCFA91" w14:textId="77777777" w:rsidR="00B565E9" w:rsidRDefault="00335DB3" w:rsidP="00AE785D">
      <w:pPr>
        <w:pStyle w:val="BodyText-parastyle"/>
      </w:pPr>
      <w:r w:rsidRPr="00176501">
        <w:t xml:space="preserve">For the purposes of calculating cost avoidance values only ‘substantive engagements’ have been included– that is people who were referred and had an assessment with a </w:t>
      </w:r>
      <w:r w:rsidR="00BD7D3E" w:rsidRPr="00176501">
        <w:t xml:space="preserve">Social Prescribing </w:t>
      </w:r>
      <w:r w:rsidRPr="00176501">
        <w:t>advisor and took-up some kind of referral activity to ensure that there is a chance of some impact occurring</w:t>
      </w:r>
      <w:r w:rsidR="00B565E9">
        <w:t>.</w:t>
      </w:r>
    </w:p>
    <w:p w14:paraId="06854939" w14:textId="77777777" w:rsidR="00335DB3" w:rsidRDefault="00335DB3" w:rsidP="00D465F1">
      <w:pPr>
        <w:pStyle w:val="Heading3"/>
      </w:pPr>
      <w:r>
        <w:t xml:space="preserve">Cost Avoidance Values – Based on RSM PACEC Survey Data </w:t>
      </w:r>
    </w:p>
    <w:p w14:paraId="4256BA31" w14:textId="77777777" w:rsidR="00335DB3" w:rsidRDefault="00335DB3" w:rsidP="00335DB3">
      <w:pPr>
        <w:pStyle w:val="Heading4"/>
        <w:numPr>
          <w:ilvl w:val="3"/>
          <w:numId w:val="1"/>
        </w:numPr>
      </w:pPr>
      <w:r>
        <w:t>Primary Care - Cost Avoidance Values</w:t>
      </w:r>
    </w:p>
    <w:p w14:paraId="1431C345" w14:textId="2C6A2DCC" w:rsidR="00335DB3" w:rsidRDefault="00335DB3" w:rsidP="00AE785D">
      <w:pPr>
        <w:pStyle w:val="BodyText-parastyle"/>
      </w:pPr>
      <w:r>
        <w:t>An overview of</w:t>
      </w:r>
      <w:r w:rsidR="00E04B23">
        <w:t xml:space="preserve"> the cost avoidance values for primary </w:t>
      </w:r>
      <w:r>
        <w:t xml:space="preserve">care as a result of </w:t>
      </w:r>
      <w:r w:rsidR="00E04B23">
        <w:t>the Social Prescribing projects</w:t>
      </w:r>
      <w:r>
        <w:t xml:space="preserve"> is outlined in table </w:t>
      </w:r>
      <w:r w:rsidR="004B7FF5">
        <w:t>8</w:t>
      </w:r>
      <w:r w:rsidR="00EE788C">
        <w:t>.7</w:t>
      </w:r>
      <w:r>
        <w:t xml:space="preserve">. The cost avoidance values are based on self-reported service use by </w:t>
      </w:r>
      <w:r w:rsidR="00E04B23">
        <w:t xml:space="preserve">136 survey respondents (125 respondents in relation to hours spent with a GP). </w:t>
      </w:r>
    </w:p>
    <w:p w14:paraId="45114278" w14:textId="77777777" w:rsidR="00170B6B" w:rsidRDefault="00170B6B" w:rsidP="00AE785D">
      <w:pPr>
        <w:pStyle w:val="BodyText-parastyle"/>
      </w:pPr>
    </w:p>
    <w:p w14:paraId="422FBD60" w14:textId="77777777" w:rsidR="00170B6B" w:rsidRDefault="00170B6B" w:rsidP="00AE785D">
      <w:pPr>
        <w:pStyle w:val="BodyText-parastyle"/>
      </w:pPr>
    </w:p>
    <w:p w14:paraId="2807CED2" w14:textId="77777777" w:rsidR="00335DB3" w:rsidRDefault="00335DB3"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7</w:t>
      </w:r>
      <w:r w:rsidR="00603E87">
        <w:fldChar w:fldCharType="end"/>
      </w:r>
      <w:r>
        <w:t xml:space="preserve">: Primary Care - </w:t>
      </w:r>
      <w:r w:rsidRPr="00176501">
        <w:t>Total Cost Avoidance (</w:t>
      </w:r>
      <w:r w:rsidR="004B3AF8">
        <w:t>Net</w:t>
      </w:r>
      <w:r w:rsidR="004B3AF8">
        <w:rPr>
          <w:rStyle w:val="FootnoteReference"/>
        </w:rPr>
        <w:footnoteReference w:id="97"/>
      </w:r>
      <w:r w:rsidRPr="00176501">
        <w:t xml:space="preserve">) </w:t>
      </w:r>
      <w:r>
        <w:t xml:space="preserve">(over a 3 month period (based on </w:t>
      </w:r>
      <w:r w:rsidR="00E04B23">
        <w:t>136</w:t>
      </w:r>
      <w:r>
        <w:t xml:space="preserve"> survey respondents))</w:t>
      </w:r>
    </w:p>
    <w:tbl>
      <w:tblPr>
        <w:tblStyle w:val="TableGrid"/>
        <w:tblW w:w="9769" w:type="dxa"/>
        <w:tblLook w:val="04A0" w:firstRow="1" w:lastRow="0" w:firstColumn="1" w:lastColumn="0" w:noHBand="0" w:noVBand="1"/>
      </w:tblPr>
      <w:tblGrid>
        <w:gridCol w:w="2629"/>
        <w:gridCol w:w="1173"/>
        <w:gridCol w:w="1227"/>
        <w:gridCol w:w="986"/>
        <w:gridCol w:w="1270"/>
        <w:gridCol w:w="1256"/>
        <w:gridCol w:w="1228"/>
      </w:tblGrid>
      <w:tr w:rsidR="0051334C" w:rsidRPr="00742604" w14:paraId="22A29611" w14:textId="77777777" w:rsidTr="0051334C">
        <w:trPr>
          <w:cnfStyle w:val="100000000000" w:firstRow="1" w:lastRow="0" w:firstColumn="0" w:lastColumn="0" w:oddVBand="0" w:evenVBand="0" w:oddHBand="0" w:evenHBand="0" w:firstRowFirstColumn="0" w:firstRowLastColumn="0" w:lastRowFirstColumn="0" w:lastRowLastColumn="0"/>
          <w:tblHeader/>
        </w:trPr>
        <w:tc>
          <w:tcPr>
            <w:tcW w:w="2629" w:type="dxa"/>
          </w:tcPr>
          <w:p w14:paraId="4E96153F" w14:textId="77777777" w:rsidR="0051334C" w:rsidRPr="00742604" w:rsidRDefault="0051334C" w:rsidP="00F01BE0">
            <w:pPr>
              <w:pStyle w:val="TableHeading"/>
            </w:pPr>
          </w:p>
        </w:tc>
        <w:tc>
          <w:tcPr>
            <w:tcW w:w="1173" w:type="dxa"/>
          </w:tcPr>
          <w:p w14:paraId="6EB9EC3F" w14:textId="77777777" w:rsidR="0051334C" w:rsidRDefault="0051334C" w:rsidP="00F01BE0">
            <w:pPr>
              <w:pStyle w:val="TableHeading"/>
            </w:pPr>
            <w:r>
              <w:t>Basildon and Brentwood</w:t>
            </w:r>
          </w:p>
        </w:tc>
        <w:tc>
          <w:tcPr>
            <w:tcW w:w="1227" w:type="dxa"/>
          </w:tcPr>
          <w:p w14:paraId="6DA92F56" w14:textId="77777777" w:rsidR="0051334C" w:rsidRDefault="0051334C" w:rsidP="00F01BE0">
            <w:pPr>
              <w:pStyle w:val="TableHeading"/>
            </w:pPr>
            <w:r>
              <w:t>Castle Point and Rochford</w:t>
            </w:r>
          </w:p>
        </w:tc>
        <w:tc>
          <w:tcPr>
            <w:tcW w:w="986" w:type="dxa"/>
          </w:tcPr>
          <w:p w14:paraId="0E89D93A" w14:textId="77777777" w:rsidR="0051334C" w:rsidRDefault="0051334C" w:rsidP="00F01BE0">
            <w:pPr>
              <w:pStyle w:val="TableHeading"/>
            </w:pPr>
            <w:r>
              <w:t>Mid Essex</w:t>
            </w:r>
          </w:p>
        </w:tc>
        <w:tc>
          <w:tcPr>
            <w:tcW w:w="1270" w:type="dxa"/>
          </w:tcPr>
          <w:p w14:paraId="595F3799" w14:textId="77777777" w:rsidR="0051334C" w:rsidRDefault="0051334C" w:rsidP="00F01BE0">
            <w:pPr>
              <w:pStyle w:val="TableHeading"/>
            </w:pPr>
            <w:r>
              <w:t xml:space="preserve">NE Essex Colchester </w:t>
            </w:r>
          </w:p>
        </w:tc>
        <w:tc>
          <w:tcPr>
            <w:tcW w:w="1256" w:type="dxa"/>
          </w:tcPr>
          <w:p w14:paraId="34E4C4E5" w14:textId="77777777" w:rsidR="0051334C" w:rsidRDefault="0051334C" w:rsidP="00F01BE0">
            <w:pPr>
              <w:pStyle w:val="TableHeading"/>
            </w:pPr>
            <w:r>
              <w:t xml:space="preserve">West Essex </w:t>
            </w:r>
          </w:p>
        </w:tc>
        <w:tc>
          <w:tcPr>
            <w:tcW w:w="1228" w:type="dxa"/>
          </w:tcPr>
          <w:p w14:paraId="476256A3" w14:textId="77777777" w:rsidR="0051334C" w:rsidRDefault="00E04B23" w:rsidP="00F01BE0">
            <w:pPr>
              <w:pStyle w:val="TableHeading"/>
            </w:pPr>
            <w:r>
              <w:t xml:space="preserve">Total </w:t>
            </w:r>
          </w:p>
        </w:tc>
      </w:tr>
      <w:tr w:rsidR="00E04B23" w:rsidRPr="00742604" w14:paraId="64C20656" w14:textId="77777777" w:rsidTr="00E04B23">
        <w:trPr>
          <w:cnfStyle w:val="000000100000" w:firstRow="0" w:lastRow="0" w:firstColumn="0" w:lastColumn="0" w:oddVBand="0" w:evenVBand="0" w:oddHBand="1" w:evenHBand="0" w:firstRowFirstColumn="0" w:firstRowLastColumn="0" w:lastRowFirstColumn="0" w:lastRowLastColumn="0"/>
        </w:trPr>
        <w:tc>
          <w:tcPr>
            <w:tcW w:w="2629" w:type="dxa"/>
          </w:tcPr>
          <w:p w14:paraId="5263BE66" w14:textId="77777777" w:rsidR="00E04B23" w:rsidRPr="00E07CE2" w:rsidRDefault="00E04B23" w:rsidP="00E04B23">
            <w:r w:rsidRPr="00E07CE2">
              <w:t>Hours spent with the GP</w:t>
            </w:r>
            <w:r>
              <w:rPr>
                <w:rStyle w:val="FootnoteReference"/>
              </w:rPr>
              <w:footnoteReference w:id="98"/>
            </w:r>
            <w:r>
              <w:t xml:space="preserve"> (n=125)</w:t>
            </w:r>
          </w:p>
        </w:tc>
        <w:tc>
          <w:tcPr>
            <w:tcW w:w="1173" w:type="dxa"/>
            <w:vAlign w:val="center"/>
          </w:tcPr>
          <w:p w14:paraId="578C400C" w14:textId="77777777" w:rsidR="00E04B23" w:rsidRDefault="00E04B23" w:rsidP="00E04B23">
            <w:pPr>
              <w:pStyle w:val="TableParagraph"/>
              <w:jc w:val="right"/>
            </w:pPr>
            <w:r w:rsidRPr="00C77CB0">
              <w:t>-£3,862</w:t>
            </w:r>
          </w:p>
        </w:tc>
        <w:tc>
          <w:tcPr>
            <w:tcW w:w="1227" w:type="dxa"/>
            <w:vAlign w:val="center"/>
          </w:tcPr>
          <w:p w14:paraId="3A81E2E7" w14:textId="77777777" w:rsidR="00E04B23" w:rsidRDefault="00E04B23" w:rsidP="00E04B23">
            <w:pPr>
              <w:pStyle w:val="TableParagraph"/>
              <w:jc w:val="right"/>
            </w:pPr>
            <w:r>
              <w:t>£545</w:t>
            </w:r>
          </w:p>
        </w:tc>
        <w:tc>
          <w:tcPr>
            <w:tcW w:w="986" w:type="dxa"/>
            <w:shd w:val="clear" w:color="auto" w:fill="D9D9D9"/>
            <w:vAlign w:val="center"/>
          </w:tcPr>
          <w:p w14:paraId="23EA89E4" w14:textId="77777777" w:rsidR="00E04B23" w:rsidRDefault="00E04B23" w:rsidP="00E04B23">
            <w:pPr>
              <w:pStyle w:val="TableParagraph"/>
              <w:jc w:val="right"/>
            </w:pPr>
            <w:r w:rsidRPr="00D25E62">
              <w:t>-£847</w:t>
            </w:r>
          </w:p>
        </w:tc>
        <w:tc>
          <w:tcPr>
            <w:tcW w:w="1270" w:type="dxa"/>
            <w:vAlign w:val="center"/>
          </w:tcPr>
          <w:p w14:paraId="77B8BEB9" w14:textId="77777777" w:rsidR="00E04B23" w:rsidRDefault="00E04B23" w:rsidP="00E04B23">
            <w:pPr>
              <w:pStyle w:val="TableParagraph"/>
              <w:jc w:val="right"/>
            </w:pPr>
            <w:r>
              <w:t>-£4,386</w:t>
            </w:r>
          </w:p>
        </w:tc>
        <w:tc>
          <w:tcPr>
            <w:tcW w:w="1256" w:type="dxa"/>
            <w:vAlign w:val="center"/>
          </w:tcPr>
          <w:p w14:paraId="0579C9AE" w14:textId="77777777" w:rsidR="00E04B23" w:rsidRDefault="00E04B23" w:rsidP="00E04B23">
            <w:pPr>
              <w:pStyle w:val="TableParagraph"/>
              <w:jc w:val="right"/>
            </w:pPr>
            <w:r>
              <w:t>-£928</w:t>
            </w:r>
          </w:p>
        </w:tc>
        <w:tc>
          <w:tcPr>
            <w:tcW w:w="1228" w:type="dxa"/>
            <w:vAlign w:val="center"/>
          </w:tcPr>
          <w:p w14:paraId="2C3ABF1A" w14:textId="77777777" w:rsidR="00E04B23" w:rsidRDefault="00E04B23" w:rsidP="00E04B23">
            <w:pPr>
              <w:pStyle w:val="TableParagraph"/>
              <w:jc w:val="right"/>
            </w:pPr>
            <w:r w:rsidRPr="00672DE7">
              <w:t>-£9,478</w:t>
            </w:r>
          </w:p>
        </w:tc>
      </w:tr>
      <w:tr w:rsidR="00E04B23" w:rsidRPr="00742604" w14:paraId="4EF86007" w14:textId="77777777" w:rsidTr="00E04B23">
        <w:trPr>
          <w:cnfStyle w:val="000000010000" w:firstRow="0" w:lastRow="0" w:firstColumn="0" w:lastColumn="0" w:oddVBand="0" w:evenVBand="0" w:oddHBand="0" w:evenHBand="1" w:firstRowFirstColumn="0" w:firstRowLastColumn="0" w:lastRowFirstColumn="0" w:lastRowLastColumn="0"/>
        </w:trPr>
        <w:tc>
          <w:tcPr>
            <w:tcW w:w="2629" w:type="dxa"/>
          </w:tcPr>
          <w:p w14:paraId="0279EC6F" w14:textId="77777777" w:rsidR="00E04B23" w:rsidRPr="00E07CE2" w:rsidRDefault="00E04B23" w:rsidP="00E04B23">
            <w:r w:rsidRPr="00E07CE2">
              <w:t>Prescr</w:t>
            </w:r>
            <w:r>
              <w:t>iptions for medication received</w:t>
            </w:r>
            <w:r>
              <w:rPr>
                <w:rStyle w:val="FootnoteReference"/>
              </w:rPr>
              <w:footnoteReference w:id="99"/>
            </w:r>
          </w:p>
        </w:tc>
        <w:tc>
          <w:tcPr>
            <w:tcW w:w="1173" w:type="dxa"/>
            <w:vAlign w:val="center"/>
          </w:tcPr>
          <w:p w14:paraId="1A7013FA" w14:textId="77777777" w:rsidR="00E04B23" w:rsidRDefault="00E04B23" w:rsidP="00E04B23">
            <w:pPr>
              <w:pStyle w:val="TableParagraph"/>
              <w:jc w:val="right"/>
            </w:pPr>
            <w:r>
              <w:t>-£1,435</w:t>
            </w:r>
          </w:p>
        </w:tc>
        <w:tc>
          <w:tcPr>
            <w:tcW w:w="1227" w:type="dxa"/>
            <w:vAlign w:val="center"/>
          </w:tcPr>
          <w:p w14:paraId="58BB1365" w14:textId="77777777" w:rsidR="00E04B23" w:rsidRDefault="00E04B23" w:rsidP="00E04B23">
            <w:pPr>
              <w:pStyle w:val="TableParagraph"/>
              <w:jc w:val="right"/>
            </w:pPr>
            <w:r>
              <w:t>£82</w:t>
            </w:r>
          </w:p>
        </w:tc>
        <w:tc>
          <w:tcPr>
            <w:tcW w:w="986" w:type="dxa"/>
            <w:shd w:val="clear" w:color="auto" w:fill="F2F2F2"/>
            <w:vAlign w:val="center"/>
          </w:tcPr>
          <w:p w14:paraId="1BE3F5AA" w14:textId="77777777" w:rsidR="00E04B23" w:rsidRDefault="00E04B23" w:rsidP="00E04B23">
            <w:pPr>
              <w:pStyle w:val="TableParagraph"/>
              <w:jc w:val="right"/>
            </w:pPr>
            <w:r w:rsidRPr="00D25E62">
              <w:t>-£82</w:t>
            </w:r>
          </w:p>
        </w:tc>
        <w:tc>
          <w:tcPr>
            <w:tcW w:w="1270" w:type="dxa"/>
            <w:vAlign w:val="center"/>
          </w:tcPr>
          <w:p w14:paraId="13544AC9" w14:textId="77777777" w:rsidR="00E04B23" w:rsidRDefault="00E04B23" w:rsidP="00E04B23">
            <w:pPr>
              <w:pStyle w:val="TableParagraph"/>
              <w:jc w:val="right"/>
            </w:pPr>
            <w:r w:rsidRPr="007F7373">
              <w:t>-£574</w:t>
            </w:r>
          </w:p>
        </w:tc>
        <w:tc>
          <w:tcPr>
            <w:tcW w:w="1256" w:type="dxa"/>
            <w:vAlign w:val="center"/>
          </w:tcPr>
          <w:p w14:paraId="23C5B433" w14:textId="77777777" w:rsidR="00E04B23" w:rsidRDefault="00E04B23" w:rsidP="00E04B23">
            <w:pPr>
              <w:pStyle w:val="TableParagraph"/>
              <w:jc w:val="right"/>
            </w:pPr>
            <w:r w:rsidRPr="00443891">
              <w:t>-£3,649</w:t>
            </w:r>
          </w:p>
        </w:tc>
        <w:tc>
          <w:tcPr>
            <w:tcW w:w="1228" w:type="dxa"/>
            <w:vAlign w:val="center"/>
          </w:tcPr>
          <w:p w14:paraId="729EBE53" w14:textId="77777777" w:rsidR="00E04B23" w:rsidRPr="00443891" w:rsidRDefault="00E04B23" w:rsidP="00E04B23">
            <w:pPr>
              <w:pStyle w:val="TableParagraph"/>
              <w:jc w:val="right"/>
            </w:pPr>
            <w:r w:rsidRPr="00672DE7">
              <w:t>-£5,658</w:t>
            </w:r>
          </w:p>
        </w:tc>
      </w:tr>
      <w:tr w:rsidR="00E04B23" w:rsidRPr="00742604" w14:paraId="5C5A0031" w14:textId="77777777" w:rsidTr="00E04B23">
        <w:trPr>
          <w:cnfStyle w:val="000000100000" w:firstRow="0" w:lastRow="0" w:firstColumn="0" w:lastColumn="0" w:oddVBand="0" w:evenVBand="0" w:oddHBand="1" w:evenHBand="0" w:firstRowFirstColumn="0" w:firstRowLastColumn="0" w:lastRowFirstColumn="0" w:lastRowLastColumn="0"/>
        </w:trPr>
        <w:tc>
          <w:tcPr>
            <w:tcW w:w="2629" w:type="dxa"/>
          </w:tcPr>
          <w:p w14:paraId="2988B959" w14:textId="77777777" w:rsidR="00E04B23" w:rsidRPr="00E07CE2" w:rsidRDefault="00E04B23" w:rsidP="00E04B23">
            <w:r w:rsidRPr="00E07CE2">
              <w:t>Hours o</w:t>
            </w:r>
            <w:r>
              <w:t>f counselling services received</w:t>
            </w:r>
            <w:r>
              <w:rPr>
                <w:rStyle w:val="FootnoteReference"/>
              </w:rPr>
              <w:footnoteReference w:id="100"/>
            </w:r>
          </w:p>
        </w:tc>
        <w:tc>
          <w:tcPr>
            <w:tcW w:w="1173" w:type="dxa"/>
            <w:vAlign w:val="center"/>
          </w:tcPr>
          <w:p w14:paraId="7D3B45C6" w14:textId="77777777" w:rsidR="00E04B23" w:rsidRDefault="00E04B23" w:rsidP="00E04B23">
            <w:pPr>
              <w:pStyle w:val="TableParagraph"/>
              <w:jc w:val="right"/>
            </w:pPr>
            <w:bookmarkStart w:id="67" w:name="_Hlk483765594"/>
            <w:r>
              <w:t>£3,350</w:t>
            </w:r>
            <w:bookmarkEnd w:id="67"/>
          </w:p>
        </w:tc>
        <w:tc>
          <w:tcPr>
            <w:tcW w:w="1227" w:type="dxa"/>
            <w:vAlign w:val="center"/>
          </w:tcPr>
          <w:p w14:paraId="65F0B0D7" w14:textId="77777777" w:rsidR="00E04B23" w:rsidRDefault="00E04B23" w:rsidP="00E04B23">
            <w:pPr>
              <w:pStyle w:val="TableParagraph"/>
              <w:jc w:val="right"/>
            </w:pPr>
            <w:r>
              <w:t>-£1,325</w:t>
            </w:r>
          </w:p>
        </w:tc>
        <w:tc>
          <w:tcPr>
            <w:tcW w:w="986" w:type="dxa"/>
            <w:shd w:val="clear" w:color="auto" w:fill="D9D9D9"/>
            <w:vAlign w:val="center"/>
          </w:tcPr>
          <w:p w14:paraId="5DBD284E" w14:textId="77777777" w:rsidR="00E04B23" w:rsidRDefault="00E04B23" w:rsidP="00E04B23">
            <w:pPr>
              <w:pStyle w:val="TableParagraph"/>
              <w:jc w:val="right"/>
            </w:pPr>
            <w:r w:rsidRPr="00D25E62">
              <w:t>-£150</w:t>
            </w:r>
          </w:p>
        </w:tc>
        <w:tc>
          <w:tcPr>
            <w:tcW w:w="1270" w:type="dxa"/>
            <w:vAlign w:val="center"/>
          </w:tcPr>
          <w:p w14:paraId="3CC0305F" w14:textId="77777777" w:rsidR="00E04B23" w:rsidRDefault="00E04B23" w:rsidP="00E04B23">
            <w:pPr>
              <w:pStyle w:val="TableParagraph"/>
              <w:jc w:val="right"/>
            </w:pPr>
            <w:r w:rsidRPr="007F7373">
              <w:t>-£137.50</w:t>
            </w:r>
          </w:p>
        </w:tc>
        <w:tc>
          <w:tcPr>
            <w:tcW w:w="1256" w:type="dxa"/>
            <w:vAlign w:val="center"/>
          </w:tcPr>
          <w:p w14:paraId="340C85E7" w14:textId="77777777" w:rsidR="00E04B23" w:rsidRDefault="0072425E" w:rsidP="00E04B23">
            <w:pPr>
              <w:pStyle w:val="TableParagraph"/>
              <w:jc w:val="right"/>
            </w:pPr>
            <w:r>
              <w:t>+</w:t>
            </w:r>
            <w:r w:rsidR="00E04B23" w:rsidRPr="00860958">
              <w:t>£500</w:t>
            </w:r>
          </w:p>
        </w:tc>
        <w:tc>
          <w:tcPr>
            <w:tcW w:w="1228" w:type="dxa"/>
            <w:vAlign w:val="center"/>
          </w:tcPr>
          <w:p w14:paraId="5F79BD24" w14:textId="77777777" w:rsidR="00E04B23" w:rsidRPr="00860958" w:rsidRDefault="0072425E" w:rsidP="00E04B23">
            <w:pPr>
              <w:pStyle w:val="TableParagraph"/>
              <w:jc w:val="right"/>
            </w:pPr>
            <w:r>
              <w:t>+</w:t>
            </w:r>
            <w:r w:rsidR="00E04B23" w:rsidRPr="00672DE7">
              <w:t>£2,238</w:t>
            </w:r>
          </w:p>
        </w:tc>
      </w:tr>
      <w:tr w:rsidR="00E04B23" w:rsidRPr="00742604" w14:paraId="4989BDB7" w14:textId="77777777" w:rsidTr="00E04B23">
        <w:trPr>
          <w:cnfStyle w:val="000000010000" w:firstRow="0" w:lastRow="0" w:firstColumn="0" w:lastColumn="0" w:oddVBand="0" w:evenVBand="0" w:oddHBand="0" w:evenHBand="1" w:firstRowFirstColumn="0" w:firstRowLastColumn="0" w:lastRowFirstColumn="0" w:lastRowLastColumn="0"/>
        </w:trPr>
        <w:tc>
          <w:tcPr>
            <w:tcW w:w="2629" w:type="dxa"/>
          </w:tcPr>
          <w:p w14:paraId="03C64A25" w14:textId="77777777" w:rsidR="00E04B23" w:rsidRPr="00E07CE2" w:rsidRDefault="00E04B23" w:rsidP="00E04B23">
            <w:r w:rsidRPr="00E07CE2">
              <w:t>Attendance at Mental Health support in the community</w:t>
            </w:r>
            <w:r>
              <w:rPr>
                <w:rStyle w:val="FootnoteReference"/>
              </w:rPr>
              <w:footnoteReference w:id="101"/>
            </w:r>
          </w:p>
        </w:tc>
        <w:tc>
          <w:tcPr>
            <w:tcW w:w="1173" w:type="dxa"/>
            <w:vAlign w:val="center"/>
          </w:tcPr>
          <w:p w14:paraId="691727F5" w14:textId="77777777" w:rsidR="00E04B23" w:rsidRDefault="00E04B23" w:rsidP="00E04B23">
            <w:pPr>
              <w:pStyle w:val="TableParagraph"/>
              <w:jc w:val="right"/>
            </w:pPr>
            <w:r>
              <w:t>£7,956</w:t>
            </w:r>
          </w:p>
        </w:tc>
        <w:tc>
          <w:tcPr>
            <w:tcW w:w="1227" w:type="dxa"/>
            <w:vAlign w:val="center"/>
          </w:tcPr>
          <w:p w14:paraId="3864DCE3" w14:textId="77777777" w:rsidR="00E04B23" w:rsidRDefault="00E04B23" w:rsidP="00E04B23">
            <w:pPr>
              <w:pStyle w:val="TableParagraph"/>
              <w:jc w:val="right"/>
            </w:pPr>
            <w:r>
              <w:t>£624</w:t>
            </w:r>
          </w:p>
        </w:tc>
        <w:tc>
          <w:tcPr>
            <w:tcW w:w="986" w:type="dxa"/>
            <w:shd w:val="clear" w:color="auto" w:fill="F2F2F2"/>
            <w:vAlign w:val="center"/>
          </w:tcPr>
          <w:p w14:paraId="107AC61C" w14:textId="77777777" w:rsidR="00E04B23" w:rsidRDefault="00E04B23" w:rsidP="00E04B23">
            <w:pPr>
              <w:pStyle w:val="TableParagraph"/>
              <w:jc w:val="right"/>
            </w:pPr>
            <w:r w:rsidRPr="00D25E62">
              <w:t>£0</w:t>
            </w:r>
          </w:p>
        </w:tc>
        <w:tc>
          <w:tcPr>
            <w:tcW w:w="1270" w:type="dxa"/>
            <w:vAlign w:val="center"/>
          </w:tcPr>
          <w:p w14:paraId="510EEB40" w14:textId="77777777" w:rsidR="00E04B23" w:rsidRDefault="00E04B23" w:rsidP="00E04B23">
            <w:pPr>
              <w:pStyle w:val="TableParagraph"/>
              <w:jc w:val="right"/>
            </w:pPr>
            <w:r w:rsidRPr="007F7373">
              <w:t>£5,148</w:t>
            </w:r>
          </w:p>
        </w:tc>
        <w:tc>
          <w:tcPr>
            <w:tcW w:w="1256" w:type="dxa"/>
            <w:vAlign w:val="center"/>
          </w:tcPr>
          <w:p w14:paraId="4463D03D" w14:textId="77777777" w:rsidR="00E04B23" w:rsidRDefault="00E04B23" w:rsidP="00E04B23">
            <w:pPr>
              <w:pStyle w:val="TableParagraph"/>
              <w:jc w:val="right"/>
            </w:pPr>
            <w:r w:rsidRPr="000E6D4D">
              <w:t>£1,248</w:t>
            </w:r>
          </w:p>
        </w:tc>
        <w:tc>
          <w:tcPr>
            <w:tcW w:w="1228" w:type="dxa"/>
            <w:vAlign w:val="center"/>
          </w:tcPr>
          <w:p w14:paraId="443893C5" w14:textId="77777777" w:rsidR="00E04B23" w:rsidRPr="000E6D4D" w:rsidRDefault="0072425E" w:rsidP="00E04B23">
            <w:pPr>
              <w:pStyle w:val="TableParagraph"/>
              <w:jc w:val="right"/>
            </w:pPr>
            <w:r>
              <w:t>+</w:t>
            </w:r>
            <w:r w:rsidR="00E04B23" w:rsidRPr="00672DE7">
              <w:t>£14,976</w:t>
            </w:r>
          </w:p>
        </w:tc>
      </w:tr>
      <w:tr w:rsidR="00E04B23" w:rsidRPr="00742604" w14:paraId="75282B48" w14:textId="77777777" w:rsidTr="00E04B23">
        <w:trPr>
          <w:cnfStyle w:val="000000100000" w:firstRow="0" w:lastRow="0" w:firstColumn="0" w:lastColumn="0" w:oddVBand="0" w:evenVBand="0" w:oddHBand="1" w:evenHBand="0" w:firstRowFirstColumn="0" w:firstRowLastColumn="0" w:lastRowFirstColumn="0" w:lastRowLastColumn="0"/>
        </w:trPr>
        <w:tc>
          <w:tcPr>
            <w:tcW w:w="2629" w:type="dxa"/>
          </w:tcPr>
          <w:p w14:paraId="443FE474" w14:textId="77777777" w:rsidR="00E04B23" w:rsidRPr="00BD5367" w:rsidRDefault="00E04B23" w:rsidP="00E04B23">
            <w:pPr>
              <w:rPr>
                <w:b/>
              </w:rPr>
            </w:pPr>
            <w:r w:rsidRPr="00BD5367">
              <w:rPr>
                <w:b/>
              </w:rPr>
              <w:t>Total</w:t>
            </w:r>
          </w:p>
        </w:tc>
        <w:tc>
          <w:tcPr>
            <w:tcW w:w="1173" w:type="dxa"/>
            <w:vAlign w:val="center"/>
          </w:tcPr>
          <w:p w14:paraId="622C2136" w14:textId="77777777" w:rsidR="00E04B23" w:rsidRPr="00E04B23" w:rsidRDefault="0072425E" w:rsidP="00E04B23">
            <w:pPr>
              <w:pStyle w:val="TableParagraph"/>
              <w:jc w:val="right"/>
              <w:rPr>
                <w:b/>
                <w:lang w:val="en-GB"/>
              </w:rPr>
            </w:pPr>
            <w:r>
              <w:rPr>
                <w:b/>
                <w:lang w:val="en-GB"/>
              </w:rPr>
              <w:t>+</w:t>
            </w:r>
            <w:r w:rsidR="00E04B23" w:rsidRPr="00E04B23">
              <w:rPr>
                <w:b/>
                <w:lang w:val="en-GB"/>
              </w:rPr>
              <w:t>£6,009</w:t>
            </w:r>
          </w:p>
        </w:tc>
        <w:tc>
          <w:tcPr>
            <w:tcW w:w="1227" w:type="dxa"/>
            <w:vAlign w:val="center"/>
          </w:tcPr>
          <w:p w14:paraId="5203041C" w14:textId="77777777" w:rsidR="00E04B23" w:rsidRPr="00634E36" w:rsidRDefault="00E04B23" w:rsidP="00E04B23">
            <w:pPr>
              <w:pStyle w:val="TableParagraph"/>
              <w:jc w:val="right"/>
              <w:rPr>
                <w:b/>
                <w:lang w:val="en-GB"/>
              </w:rPr>
            </w:pPr>
            <w:r w:rsidRPr="00E04B23">
              <w:rPr>
                <w:b/>
                <w:lang w:val="en-GB"/>
              </w:rPr>
              <w:t>-£74</w:t>
            </w:r>
          </w:p>
        </w:tc>
        <w:tc>
          <w:tcPr>
            <w:tcW w:w="986" w:type="dxa"/>
            <w:vAlign w:val="center"/>
          </w:tcPr>
          <w:p w14:paraId="58C18ACD" w14:textId="77777777" w:rsidR="00E04B23" w:rsidRPr="00634E36" w:rsidRDefault="00E04B23" w:rsidP="00E04B23">
            <w:pPr>
              <w:pStyle w:val="TableParagraph"/>
              <w:jc w:val="right"/>
              <w:rPr>
                <w:b/>
                <w:lang w:val="en-GB"/>
              </w:rPr>
            </w:pPr>
            <w:r w:rsidRPr="00E04B23">
              <w:rPr>
                <w:b/>
                <w:lang w:val="en-GB"/>
              </w:rPr>
              <w:t>-£1,079</w:t>
            </w:r>
          </w:p>
        </w:tc>
        <w:tc>
          <w:tcPr>
            <w:tcW w:w="1270" w:type="dxa"/>
            <w:vAlign w:val="center"/>
          </w:tcPr>
          <w:p w14:paraId="13F6B224" w14:textId="77777777" w:rsidR="00E04B23" w:rsidRPr="00634E36" w:rsidRDefault="0072425E" w:rsidP="00E04B23">
            <w:pPr>
              <w:pStyle w:val="TableParagraph"/>
              <w:jc w:val="right"/>
              <w:rPr>
                <w:b/>
                <w:lang w:val="en-GB"/>
              </w:rPr>
            </w:pPr>
            <w:r>
              <w:rPr>
                <w:b/>
                <w:lang w:val="en-GB"/>
              </w:rPr>
              <w:t>+</w:t>
            </w:r>
            <w:r w:rsidR="00E04B23" w:rsidRPr="00E04B23">
              <w:rPr>
                <w:b/>
                <w:lang w:val="en-GB"/>
              </w:rPr>
              <w:t>£51</w:t>
            </w:r>
          </w:p>
        </w:tc>
        <w:tc>
          <w:tcPr>
            <w:tcW w:w="1256" w:type="dxa"/>
            <w:vAlign w:val="center"/>
          </w:tcPr>
          <w:p w14:paraId="7A1CD67B" w14:textId="77777777" w:rsidR="00E04B23" w:rsidRPr="00634E36" w:rsidRDefault="00E04B23" w:rsidP="00E04B23">
            <w:pPr>
              <w:pStyle w:val="TableParagraph"/>
              <w:jc w:val="right"/>
              <w:rPr>
                <w:b/>
                <w:lang w:val="en-GB"/>
              </w:rPr>
            </w:pPr>
            <w:r w:rsidRPr="00E04B23">
              <w:rPr>
                <w:b/>
                <w:lang w:val="en-GB"/>
              </w:rPr>
              <w:t>-£2,829</w:t>
            </w:r>
          </w:p>
        </w:tc>
        <w:tc>
          <w:tcPr>
            <w:tcW w:w="1228" w:type="dxa"/>
            <w:vAlign w:val="center"/>
          </w:tcPr>
          <w:p w14:paraId="3F5D30DC" w14:textId="77777777" w:rsidR="00E04B23" w:rsidRPr="00E04B23" w:rsidRDefault="0072425E" w:rsidP="00E04B23">
            <w:pPr>
              <w:pStyle w:val="TableParagraph"/>
              <w:jc w:val="right"/>
              <w:rPr>
                <w:b/>
                <w:lang w:val="en-GB"/>
              </w:rPr>
            </w:pPr>
            <w:r>
              <w:rPr>
                <w:b/>
                <w:lang w:val="en-GB"/>
              </w:rPr>
              <w:t>+</w:t>
            </w:r>
            <w:r w:rsidR="00E04B23" w:rsidRPr="00E04B23">
              <w:rPr>
                <w:b/>
                <w:lang w:val="en-GB"/>
              </w:rPr>
              <w:t>£2,078</w:t>
            </w:r>
          </w:p>
        </w:tc>
      </w:tr>
    </w:tbl>
    <w:p w14:paraId="21114E50" w14:textId="40C5D794" w:rsidR="00335DB3" w:rsidRDefault="00335DB3" w:rsidP="00AE785D">
      <w:pPr>
        <w:pStyle w:val="BodyText-parastyle"/>
      </w:pPr>
      <w:r>
        <w:t xml:space="preserve">Table </w:t>
      </w:r>
      <w:r w:rsidR="004B7FF5">
        <w:t>8</w:t>
      </w:r>
      <w:r w:rsidR="001E4425">
        <w:t>.</w:t>
      </w:r>
      <w:r w:rsidR="00EE788C">
        <w:t>7</w:t>
      </w:r>
      <w:r>
        <w:t xml:space="preserve"> shows that potentially costs have </w:t>
      </w:r>
      <w:r w:rsidRPr="001A36D2">
        <w:t>been avoided in t</w:t>
      </w:r>
      <w:r>
        <w:t xml:space="preserve">hree </w:t>
      </w:r>
      <w:r w:rsidRPr="001A36D2">
        <w:t>of the</w:t>
      </w:r>
      <w:r>
        <w:t xml:space="preserve"> four primary care services. Specifically:</w:t>
      </w:r>
    </w:p>
    <w:p w14:paraId="2FF60EEE" w14:textId="77777777" w:rsidR="00335DB3" w:rsidRDefault="00335DB3" w:rsidP="00D53262">
      <w:pPr>
        <w:pStyle w:val="ListParagraph"/>
      </w:pPr>
      <w:r>
        <w:t xml:space="preserve">GP attendance - in the 3 months since engagement there was a cost reduction of </w:t>
      </w:r>
      <w:r w:rsidR="00E04B23">
        <w:t>£</w:t>
      </w:r>
      <w:r w:rsidR="00E04B23" w:rsidRPr="00E04B23">
        <w:t>9,478</w:t>
      </w:r>
    </w:p>
    <w:p w14:paraId="0DA79F53" w14:textId="77777777" w:rsidR="00335DB3" w:rsidRDefault="00335DB3" w:rsidP="00D53262">
      <w:pPr>
        <w:pStyle w:val="ListParagraph"/>
      </w:pPr>
      <w:r>
        <w:t xml:space="preserve">Prescriptions – in the 3 months since engagement there was a cost reduction of </w:t>
      </w:r>
      <w:r w:rsidR="00E04B23" w:rsidRPr="00E04B23">
        <w:t>£5,658</w:t>
      </w:r>
    </w:p>
    <w:p w14:paraId="7297E4FA" w14:textId="77777777" w:rsidR="00335DB3" w:rsidRDefault="00335DB3" w:rsidP="00D53262">
      <w:pPr>
        <w:pStyle w:val="ListParagraph"/>
      </w:pPr>
      <w:r>
        <w:t>Use of counselling services- in the 3 months sin</w:t>
      </w:r>
      <w:r w:rsidR="00E04B23">
        <w:t>ce engagement there was a cost incurred</w:t>
      </w:r>
      <w:r>
        <w:t xml:space="preserve"> of </w:t>
      </w:r>
      <w:r w:rsidR="00E04B23" w:rsidRPr="00E04B23">
        <w:t>£2,238</w:t>
      </w:r>
    </w:p>
    <w:p w14:paraId="48384301" w14:textId="77777777" w:rsidR="00335DB3" w:rsidRPr="003324DA" w:rsidRDefault="00335DB3" w:rsidP="00D53262">
      <w:pPr>
        <w:pStyle w:val="ListParagraph"/>
      </w:pPr>
      <w:r w:rsidRPr="003324DA">
        <w:t xml:space="preserve">Attendance at Mental </w:t>
      </w:r>
      <w:r>
        <w:t xml:space="preserve">Health support in the community - in the 3 months since engagement there was a cost incurred of </w:t>
      </w:r>
      <w:r w:rsidR="00E04B23" w:rsidRPr="00E04B23">
        <w:t>£14,976</w:t>
      </w:r>
      <w:r w:rsidR="004B3AF8">
        <w:t>. However it is possible that the Social Prescribing p</w:t>
      </w:r>
      <w:r w:rsidR="004B3AF8" w:rsidRPr="004B3AF8">
        <w:t xml:space="preserve">rojects </w:t>
      </w:r>
      <w:r w:rsidR="004B3AF8">
        <w:t>were</w:t>
      </w:r>
      <w:r w:rsidR="004B3AF8" w:rsidRPr="004B3AF8">
        <w:t xml:space="preserve"> uncovering unmet mental health needs and refer</w:t>
      </w:r>
      <w:r w:rsidR="004B3AF8">
        <w:t xml:space="preserve">ring to mental health services, therefore while it represents a cost incurred it could be a positive outcome for service users in the longer term (see section </w:t>
      </w:r>
      <w:r w:rsidR="003702C8">
        <w:t>6.4.5</w:t>
      </w:r>
      <w:r w:rsidR="004B3AF8">
        <w:t xml:space="preserve"> – </w:t>
      </w:r>
      <w:r w:rsidR="003702C8">
        <w:t>6.4.7</w:t>
      </w:r>
      <w:r w:rsidR="004B3AF8">
        <w:t xml:space="preserve"> which indicates improved personal and mental wellbeing in the same period).</w:t>
      </w:r>
    </w:p>
    <w:p w14:paraId="316F64B1" w14:textId="77777777" w:rsidR="004B3AF8" w:rsidRDefault="00335DB3" w:rsidP="00AE785D">
      <w:pPr>
        <w:pStyle w:val="BodyText-parastyle"/>
      </w:pPr>
      <w:r w:rsidRPr="002B26ED">
        <w:t xml:space="preserve">As a result there is a total cost </w:t>
      </w:r>
      <w:r w:rsidR="00E04B23">
        <w:t>incurred</w:t>
      </w:r>
      <w:r>
        <w:t xml:space="preserve"> of </w:t>
      </w:r>
      <w:r w:rsidR="00E04B23" w:rsidRPr="00E04B23">
        <w:t>£2,078</w:t>
      </w:r>
      <w:r>
        <w:t xml:space="preserve">, based on </w:t>
      </w:r>
      <w:r w:rsidR="00E04B23">
        <w:t>136</w:t>
      </w:r>
      <w:r w:rsidRPr="002B26ED">
        <w:t xml:space="preserve"> respondents this equate</w:t>
      </w:r>
      <w:r w:rsidR="004B3AF8">
        <w:t>s</w:t>
      </w:r>
      <w:r>
        <w:t xml:space="preserve"> to a cost </w:t>
      </w:r>
      <w:r w:rsidR="00E04B23">
        <w:t>incurred</w:t>
      </w:r>
      <w:r>
        <w:t xml:space="preserve"> of </w:t>
      </w:r>
      <w:r w:rsidR="00E04B23">
        <w:t>£15</w:t>
      </w:r>
      <w:r w:rsidRPr="002B26ED">
        <w:t xml:space="preserve"> per service user. </w:t>
      </w:r>
    </w:p>
    <w:p w14:paraId="1976A049" w14:textId="77777777" w:rsidR="00335DB3" w:rsidRDefault="00335DB3" w:rsidP="004B3AF8">
      <w:pPr>
        <w:pStyle w:val="Heading4"/>
      </w:pPr>
      <w:r>
        <w:t>Secondary Care - Cost Avoidance Values</w:t>
      </w:r>
    </w:p>
    <w:p w14:paraId="76EFDD05" w14:textId="2F140788" w:rsidR="00335DB3" w:rsidRPr="006A4F77" w:rsidRDefault="00335DB3" w:rsidP="00AE785D">
      <w:pPr>
        <w:pStyle w:val="BodyText-parastyle"/>
      </w:pPr>
      <w:r>
        <w:t xml:space="preserve">An overview of the cost avoidance values for </w:t>
      </w:r>
      <w:r w:rsidR="00F34F89">
        <w:t>secondary</w:t>
      </w:r>
      <w:r>
        <w:t xml:space="preserve"> care as a result of </w:t>
      </w:r>
      <w:r w:rsidR="001E4425">
        <w:t>the Social Prescribing project</w:t>
      </w:r>
      <w:r w:rsidR="00F34F89">
        <w:t>s</w:t>
      </w:r>
      <w:r>
        <w:t xml:space="preserve"> is outlined in table </w:t>
      </w:r>
      <w:r w:rsidR="004B7FF5">
        <w:t>8</w:t>
      </w:r>
      <w:r w:rsidR="00EE788C">
        <w:t>.8</w:t>
      </w:r>
      <w:r>
        <w:t>.</w:t>
      </w:r>
      <w:r w:rsidRPr="00483D45">
        <w:t xml:space="preserve"> </w:t>
      </w:r>
      <w:r>
        <w:t xml:space="preserve">The cost avoidance values are based on self-reported service use by </w:t>
      </w:r>
      <w:r w:rsidR="00F34F89">
        <w:t xml:space="preserve">136 </w:t>
      </w:r>
      <w:r>
        <w:t>survey respondents.</w:t>
      </w:r>
    </w:p>
    <w:p w14:paraId="6AFEF41D" w14:textId="77777777" w:rsidR="00335DB3" w:rsidRDefault="00335DB3"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8</w:t>
      </w:r>
      <w:r w:rsidR="00603E87">
        <w:fldChar w:fldCharType="end"/>
      </w:r>
      <w:r>
        <w:t xml:space="preserve">: Secondary Care - </w:t>
      </w:r>
      <w:r w:rsidRPr="00176501">
        <w:t xml:space="preserve">Total Cost Avoidance </w:t>
      </w:r>
      <w:r w:rsidR="004B3AF8" w:rsidRPr="00176501">
        <w:t>(</w:t>
      </w:r>
      <w:r w:rsidR="004B3AF8">
        <w:t>Net</w:t>
      </w:r>
      <w:r w:rsidR="004B3AF8">
        <w:rPr>
          <w:rStyle w:val="FootnoteReference"/>
        </w:rPr>
        <w:footnoteReference w:id="102"/>
      </w:r>
      <w:r w:rsidR="004B3AF8" w:rsidRPr="00176501">
        <w:t xml:space="preserve">) </w:t>
      </w:r>
      <w:r>
        <w:t xml:space="preserve">(over a 3 month period (based on </w:t>
      </w:r>
      <w:r w:rsidR="00F34F89">
        <w:t>136</w:t>
      </w:r>
      <w:r>
        <w:t xml:space="preserve"> survey respondents))</w:t>
      </w:r>
    </w:p>
    <w:tbl>
      <w:tblPr>
        <w:tblStyle w:val="ForfasTableGrid1"/>
        <w:tblW w:w="9769" w:type="dxa"/>
        <w:tblLook w:val="04A0" w:firstRow="1" w:lastRow="0" w:firstColumn="1" w:lastColumn="0" w:noHBand="0" w:noVBand="1"/>
      </w:tblPr>
      <w:tblGrid>
        <w:gridCol w:w="2405"/>
        <w:gridCol w:w="1227"/>
        <w:gridCol w:w="1227"/>
        <w:gridCol w:w="1228"/>
        <w:gridCol w:w="1227"/>
        <w:gridCol w:w="1227"/>
        <w:gridCol w:w="1228"/>
      </w:tblGrid>
      <w:tr w:rsidR="00F34F89" w:rsidRPr="00742604" w14:paraId="139EF722" w14:textId="77777777" w:rsidTr="001E4425">
        <w:trPr>
          <w:cnfStyle w:val="100000000000" w:firstRow="1" w:lastRow="0" w:firstColumn="0" w:lastColumn="0" w:oddVBand="0" w:evenVBand="0" w:oddHBand="0" w:evenHBand="0" w:firstRowFirstColumn="0" w:firstRowLastColumn="0" w:lastRowFirstColumn="0" w:lastRowLastColumn="0"/>
          <w:tblHeader/>
        </w:trPr>
        <w:tc>
          <w:tcPr>
            <w:tcW w:w="2405" w:type="dxa"/>
          </w:tcPr>
          <w:p w14:paraId="51E7DA92" w14:textId="77777777" w:rsidR="00F34F89" w:rsidRPr="00742604" w:rsidRDefault="00F34F89" w:rsidP="000F50F9">
            <w:pPr>
              <w:pStyle w:val="TableHeading"/>
              <w:spacing w:after="0"/>
            </w:pPr>
          </w:p>
        </w:tc>
        <w:tc>
          <w:tcPr>
            <w:tcW w:w="1227" w:type="dxa"/>
          </w:tcPr>
          <w:p w14:paraId="46B8EB61" w14:textId="77777777" w:rsidR="00F34F89" w:rsidRDefault="00F34F89" w:rsidP="000F50F9">
            <w:pPr>
              <w:pStyle w:val="TableHeading"/>
              <w:spacing w:after="0"/>
            </w:pPr>
            <w:r>
              <w:t>Basildon and Brentwood</w:t>
            </w:r>
          </w:p>
        </w:tc>
        <w:tc>
          <w:tcPr>
            <w:tcW w:w="1227" w:type="dxa"/>
          </w:tcPr>
          <w:p w14:paraId="3F2AC7FF" w14:textId="77777777" w:rsidR="00F34F89" w:rsidRDefault="00F34F89" w:rsidP="000F50F9">
            <w:pPr>
              <w:pStyle w:val="TableHeading"/>
              <w:spacing w:after="0"/>
            </w:pPr>
            <w:r>
              <w:t>Castle Point and Rochford</w:t>
            </w:r>
          </w:p>
        </w:tc>
        <w:tc>
          <w:tcPr>
            <w:tcW w:w="1228" w:type="dxa"/>
          </w:tcPr>
          <w:p w14:paraId="674760B8" w14:textId="77777777" w:rsidR="00F34F89" w:rsidRDefault="00F34F89" w:rsidP="000F50F9">
            <w:pPr>
              <w:pStyle w:val="TableHeading"/>
              <w:spacing w:after="0"/>
            </w:pPr>
            <w:r>
              <w:t>Mid Essex</w:t>
            </w:r>
          </w:p>
        </w:tc>
        <w:tc>
          <w:tcPr>
            <w:tcW w:w="1227" w:type="dxa"/>
          </w:tcPr>
          <w:p w14:paraId="38565FF1" w14:textId="77777777" w:rsidR="00F34F89" w:rsidRDefault="00F34F89" w:rsidP="000F50F9">
            <w:pPr>
              <w:pStyle w:val="TableHeading"/>
              <w:spacing w:after="0"/>
            </w:pPr>
            <w:r>
              <w:t xml:space="preserve">NE Essex Colchester </w:t>
            </w:r>
          </w:p>
        </w:tc>
        <w:tc>
          <w:tcPr>
            <w:tcW w:w="1227" w:type="dxa"/>
          </w:tcPr>
          <w:p w14:paraId="64AB6602" w14:textId="77777777" w:rsidR="00F34F89" w:rsidRDefault="00F34F89" w:rsidP="000F50F9">
            <w:pPr>
              <w:pStyle w:val="TableHeading"/>
              <w:spacing w:after="0"/>
            </w:pPr>
            <w:r>
              <w:t xml:space="preserve">West Essex </w:t>
            </w:r>
          </w:p>
        </w:tc>
        <w:tc>
          <w:tcPr>
            <w:tcW w:w="1228" w:type="dxa"/>
          </w:tcPr>
          <w:p w14:paraId="1E75432E" w14:textId="77777777" w:rsidR="00F34F89" w:rsidRDefault="00F34F89" w:rsidP="000F50F9">
            <w:pPr>
              <w:pStyle w:val="TableHeading"/>
              <w:spacing w:after="0"/>
            </w:pPr>
            <w:r>
              <w:t>Total</w:t>
            </w:r>
          </w:p>
        </w:tc>
      </w:tr>
      <w:tr w:rsidR="00F24AEF" w:rsidRPr="00742604" w14:paraId="6CF9B80D" w14:textId="77777777" w:rsidTr="00F24AEF">
        <w:trPr>
          <w:cnfStyle w:val="000000100000" w:firstRow="0" w:lastRow="0" w:firstColumn="0" w:lastColumn="0" w:oddVBand="0" w:evenVBand="0" w:oddHBand="1" w:evenHBand="0" w:firstRowFirstColumn="0" w:firstRowLastColumn="0" w:lastRowFirstColumn="0" w:lastRowLastColumn="0"/>
        </w:trPr>
        <w:tc>
          <w:tcPr>
            <w:tcW w:w="2405" w:type="dxa"/>
          </w:tcPr>
          <w:p w14:paraId="547B8866" w14:textId="77777777" w:rsidR="00F24AEF" w:rsidRPr="00E07CE2" w:rsidRDefault="00F24AEF" w:rsidP="000F50F9">
            <w:pPr>
              <w:spacing w:after="0"/>
            </w:pPr>
            <w:r w:rsidRPr="00E07CE2">
              <w:t>Attendance at A+E</w:t>
            </w:r>
            <w:r>
              <w:rPr>
                <w:rStyle w:val="FootnoteReference"/>
              </w:rPr>
              <w:footnoteReference w:id="103"/>
            </w:r>
          </w:p>
        </w:tc>
        <w:tc>
          <w:tcPr>
            <w:tcW w:w="1227" w:type="dxa"/>
            <w:vAlign w:val="center"/>
          </w:tcPr>
          <w:p w14:paraId="222CA1F9" w14:textId="77777777" w:rsidR="00F24AEF" w:rsidRDefault="00F24AEF" w:rsidP="000F50F9">
            <w:pPr>
              <w:pStyle w:val="TableParagraph"/>
              <w:spacing w:after="0"/>
              <w:jc w:val="right"/>
            </w:pPr>
            <w:r w:rsidRPr="0024049C">
              <w:t>-£218</w:t>
            </w:r>
          </w:p>
        </w:tc>
        <w:tc>
          <w:tcPr>
            <w:tcW w:w="1227" w:type="dxa"/>
            <w:vAlign w:val="center"/>
          </w:tcPr>
          <w:p w14:paraId="254E9D08" w14:textId="77777777" w:rsidR="00F24AEF" w:rsidRDefault="00F24AEF" w:rsidP="000F50F9">
            <w:pPr>
              <w:pStyle w:val="TableParagraph"/>
              <w:spacing w:after="0"/>
              <w:jc w:val="right"/>
            </w:pPr>
            <w:r w:rsidRPr="0024049C">
              <w:t>-£426</w:t>
            </w:r>
          </w:p>
        </w:tc>
        <w:tc>
          <w:tcPr>
            <w:tcW w:w="1228" w:type="dxa"/>
            <w:vAlign w:val="center"/>
          </w:tcPr>
          <w:p w14:paraId="53EB11FF" w14:textId="77777777" w:rsidR="00F24AEF" w:rsidRDefault="00F24AEF" w:rsidP="000F50F9">
            <w:pPr>
              <w:pStyle w:val="TableParagraph"/>
              <w:spacing w:after="0"/>
              <w:jc w:val="right"/>
            </w:pPr>
            <w:r w:rsidRPr="0024049C">
              <w:t>£0</w:t>
            </w:r>
          </w:p>
        </w:tc>
        <w:tc>
          <w:tcPr>
            <w:tcW w:w="1227" w:type="dxa"/>
            <w:vAlign w:val="center"/>
          </w:tcPr>
          <w:p w14:paraId="7C1E5886" w14:textId="77777777" w:rsidR="00F24AEF" w:rsidRDefault="00F24AEF" w:rsidP="000F50F9">
            <w:pPr>
              <w:pStyle w:val="TableParagraph"/>
              <w:spacing w:after="0"/>
              <w:jc w:val="right"/>
            </w:pPr>
            <w:r w:rsidRPr="0024049C">
              <w:t>-£436</w:t>
            </w:r>
          </w:p>
        </w:tc>
        <w:tc>
          <w:tcPr>
            <w:tcW w:w="1227" w:type="dxa"/>
            <w:vAlign w:val="center"/>
          </w:tcPr>
          <w:p w14:paraId="3336F44E" w14:textId="77777777" w:rsidR="00F24AEF" w:rsidRDefault="00F24AEF" w:rsidP="000F50F9">
            <w:pPr>
              <w:pStyle w:val="TableParagraph"/>
              <w:spacing w:after="0"/>
              <w:jc w:val="right"/>
            </w:pPr>
            <w:r w:rsidRPr="0024049C">
              <w:t>£0</w:t>
            </w:r>
          </w:p>
        </w:tc>
        <w:tc>
          <w:tcPr>
            <w:tcW w:w="1228" w:type="dxa"/>
            <w:vAlign w:val="center"/>
          </w:tcPr>
          <w:p w14:paraId="5E473644" w14:textId="77777777" w:rsidR="00F24AEF" w:rsidRDefault="00F24AEF" w:rsidP="000F50F9">
            <w:pPr>
              <w:pStyle w:val="TableParagraph"/>
              <w:spacing w:after="0"/>
              <w:jc w:val="right"/>
            </w:pPr>
            <w:r w:rsidRPr="0024049C">
              <w:t>-£1,080</w:t>
            </w:r>
          </w:p>
        </w:tc>
      </w:tr>
      <w:tr w:rsidR="00F24AEF" w:rsidRPr="00742604" w14:paraId="38CB7C05" w14:textId="77777777" w:rsidTr="00F24AEF">
        <w:trPr>
          <w:cnfStyle w:val="000000010000" w:firstRow="0" w:lastRow="0" w:firstColumn="0" w:lastColumn="0" w:oddVBand="0" w:evenVBand="0" w:oddHBand="0" w:evenHBand="1" w:firstRowFirstColumn="0" w:firstRowLastColumn="0" w:lastRowFirstColumn="0" w:lastRowLastColumn="0"/>
        </w:trPr>
        <w:tc>
          <w:tcPr>
            <w:tcW w:w="2405" w:type="dxa"/>
          </w:tcPr>
          <w:p w14:paraId="4316B366" w14:textId="77777777" w:rsidR="00F24AEF" w:rsidRPr="00E07CE2" w:rsidRDefault="00F24AEF" w:rsidP="000F50F9">
            <w:pPr>
              <w:spacing w:after="0"/>
            </w:pPr>
            <w:r w:rsidRPr="00E07CE2">
              <w:t>Outpatient appointments attended</w:t>
            </w:r>
            <w:r>
              <w:rPr>
                <w:rStyle w:val="FootnoteReference"/>
              </w:rPr>
              <w:footnoteReference w:id="104"/>
            </w:r>
          </w:p>
        </w:tc>
        <w:tc>
          <w:tcPr>
            <w:tcW w:w="1227" w:type="dxa"/>
            <w:vAlign w:val="center"/>
          </w:tcPr>
          <w:p w14:paraId="58ED2074" w14:textId="77777777" w:rsidR="00F24AEF" w:rsidRDefault="00F24AEF" w:rsidP="000F50F9">
            <w:pPr>
              <w:pStyle w:val="TableParagraph"/>
              <w:spacing w:after="0"/>
              <w:jc w:val="right"/>
            </w:pPr>
            <w:r w:rsidRPr="0024049C">
              <w:t>-£4,329</w:t>
            </w:r>
          </w:p>
        </w:tc>
        <w:tc>
          <w:tcPr>
            <w:tcW w:w="1227" w:type="dxa"/>
            <w:vAlign w:val="center"/>
          </w:tcPr>
          <w:p w14:paraId="1C02D829" w14:textId="77777777" w:rsidR="00F24AEF" w:rsidRDefault="00F24AEF" w:rsidP="000F50F9">
            <w:pPr>
              <w:pStyle w:val="TableParagraph"/>
              <w:spacing w:after="0"/>
              <w:jc w:val="right"/>
            </w:pPr>
            <w:r w:rsidRPr="0024049C">
              <w:t>N/A</w:t>
            </w:r>
          </w:p>
        </w:tc>
        <w:tc>
          <w:tcPr>
            <w:tcW w:w="1228" w:type="dxa"/>
            <w:vAlign w:val="center"/>
          </w:tcPr>
          <w:p w14:paraId="342B6474" w14:textId="77777777" w:rsidR="00F24AEF" w:rsidRDefault="004B3AF8" w:rsidP="000F50F9">
            <w:pPr>
              <w:pStyle w:val="TableParagraph"/>
              <w:spacing w:after="0"/>
              <w:jc w:val="right"/>
            </w:pPr>
            <w:r>
              <w:t>-</w:t>
            </w:r>
            <w:r w:rsidR="00F24AEF" w:rsidRPr="0024049C">
              <w:t>£666</w:t>
            </w:r>
          </w:p>
        </w:tc>
        <w:tc>
          <w:tcPr>
            <w:tcW w:w="1227" w:type="dxa"/>
            <w:vAlign w:val="center"/>
          </w:tcPr>
          <w:p w14:paraId="7FB97B85" w14:textId="77777777" w:rsidR="00F24AEF" w:rsidRDefault="0072425E" w:rsidP="000F50F9">
            <w:pPr>
              <w:pStyle w:val="TableParagraph"/>
              <w:spacing w:after="0"/>
              <w:jc w:val="right"/>
            </w:pPr>
            <w:r>
              <w:t>+</w:t>
            </w:r>
            <w:r w:rsidR="00F24AEF" w:rsidRPr="0024049C">
              <w:t>£333</w:t>
            </w:r>
          </w:p>
        </w:tc>
        <w:tc>
          <w:tcPr>
            <w:tcW w:w="1227" w:type="dxa"/>
            <w:vAlign w:val="center"/>
          </w:tcPr>
          <w:p w14:paraId="09C4A52A" w14:textId="77777777" w:rsidR="00F24AEF" w:rsidRDefault="00F24AEF" w:rsidP="000F50F9">
            <w:pPr>
              <w:pStyle w:val="TableParagraph"/>
              <w:spacing w:after="0"/>
              <w:jc w:val="right"/>
            </w:pPr>
            <w:r w:rsidRPr="0024049C">
              <w:t>-£1,332</w:t>
            </w:r>
          </w:p>
        </w:tc>
        <w:tc>
          <w:tcPr>
            <w:tcW w:w="1228" w:type="dxa"/>
            <w:vAlign w:val="center"/>
          </w:tcPr>
          <w:p w14:paraId="5800FBDF" w14:textId="77777777" w:rsidR="00F24AEF" w:rsidRPr="00EB6AA2" w:rsidRDefault="00F24AEF" w:rsidP="000F50F9">
            <w:pPr>
              <w:pStyle w:val="TableParagraph"/>
              <w:spacing w:after="0"/>
              <w:jc w:val="right"/>
            </w:pPr>
            <w:r w:rsidRPr="0024049C">
              <w:t>-£4,662</w:t>
            </w:r>
          </w:p>
        </w:tc>
      </w:tr>
      <w:tr w:rsidR="00F24AEF" w:rsidRPr="00742604" w14:paraId="05367BF7" w14:textId="77777777" w:rsidTr="00F24AEF">
        <w:trPr>
          <w:cnfStyle w:val="000000100000" w:firstRow="0" w:lastRow="0" w:firstColumn="0" w:lastColumn="0" w:oddVBand="0" w:evenVBand="0" w:oddHBand="1" w:evenHBand="0" w:firstRowFirstColumn="0" w:firstRowLastColumn="0" w:lastRowFirstColumn="0" w:lastRowLastColumn="0"/>
        </w:trPr>
        <w:tc>
          <w:tcPr>
            <w:tcW w:w="2405" w:type="dxa"/>
          </w:tcPr>
          <w:p w14:paraId="716195C5" w14:textId="77777777" w:rsidR="00F24AEF" w:rsidRPr="00E07CE2" w:rsidRDefault="00F24AEF" w:rsidP="000F50F9">
            <w:pPr>
              <w:spacing w:after="0"/>
            </w:pPr>
            <w:r w:rsidRPr="00E07CE2">
              <w:t>Admittance to hospital</w:t>
            </w:r>
            <w:r>
              <w:t xml:space="preserve"> – planned procedure</w:t>
            </w:r>
            <w:r>
              <w:rPr>
                <w:rStyle w:val="FootnoteReference"/>
              </w:rPr>
              <w:footnoteReference w:id="105"/>
            </w:r>
            <w:r w:rsidRPr="00E07CE2">
              <w:t xml:space="preserve"> </w:t>
            </w:r>
          </w:p>
        </w:tc>
        <w:tc>
          <w:tcPr>
            <w:tcW w:w="1227" w:type="dxa"/>
            <w:vAlign w:val="center"/>
          </w:tcPr>
          <w:p w14:paraId="47BB8B1F" w14:textId="77777777" w:rsidR="00F24AEF" w:rsidRDefault="00F24AEF" w:rsidP="000F50F9">
            <w:pPr>
              <w:pStyle w:val="TableParagraph"/>
              <w:spacing w:after="0"/>
              <w:jc w:val="right"/>
            </w:pPr>
            <w:r w:rsidRPr="0024049C">
              <w:t>0</w:t>
            </w:r>
          </w:p>
        </w:tc>
        <w:tc>
          <w:tcPr>
            <w:tcW w:w="1227" w:type="dxa"/>
            <w:vAlign w:val="center"/>
          </w:tcPr>
          <w:p w14:paraId="00D4F51D" w14:textId="77777777" w:rsidR="00F24AEF" w:rsidRDefault="0072425E" w:rsidP="000F50F9">
            <w:pPr>
              <w:pStyle w:val="TableParagraph"/>
              <w:spacing w:after="0"/>
              <w:jc w:val="right"/>
            </w:pPr>
            <w:r>
              <w:t>+</w:t>
            </w:r>
            <w:r w:rsidR="00F24AEF" w:rsidRPr="0024049C">
              <w:t>£3,614</w:t>
            </w:r>
          </w:p>
        </w:tc>
        <w:tc>
          <w:tcPr>
            <w:tcW w:w="1228" w:type="dxa"/>
            <w:vAlign w:val="center"/>
          </w:tcPr>
          <w:p w14:paraId="04CC0CA4" w14:textId="77777777" w:rsidR="00F24AEF" w:rsidRDefault="00F24AEF" w:rsidP="000F50F9">
            <w:pPr>
              <w:pStyle w:val="TableParagraph"/>
              <w:spacing w:after="0"/>
              <w:jc w:val="right"/>
            </w:pPr>
            <w:r w:rsidRPr="0024049C">
              <w:t>£0</w:t>
            </w:r>
          </w:p>
        </w:tc>
        <w:tc>
          <w:tcPr>
            <w:tcW w:w="1227" w:type="dxa"/>
            <w:vAlign w:val="center"/>
          </w:tcPr>
          <w:p w14:paraId="230D9E69" w14:textId="77777777" w:rsidR="00F24AEF" w:rsidRDefault="00F24AEF" w:rsidP="000F50F9">
            <w:pPr>
              <w:pStyle w:val="TableParagraph"/>
              <w:spacing w:after="0"/>
              <w:jc w:val="right"/>
            </w:pPr>
            <w:r w:rsidRPr="0024049C">
              <w:t>-£5,421</w:t>
            </w:r>
          </w:p>
        </w:tc>
        <w:tc>
          <w:tcPr>
            <w:tcW w:w="1227" w:type="dxa"/>
            <w:vAlign w:val="center"/>
          </w:tcPr>
          <w:p w14:paraId="5C82F545" w14:textId="77777777" w:rsidR="00F24AEF" w:rsidRDefault="00F24AEF" w:rsidP="000F50F9">
            <w:pPr>
              <w:pStyle w:val="TableParagraph"/>
              <w:spacing w:after="0"/>
              <w:jc w:val="right"/>
            </w:pPr>
            <w:r w:rsidRPr="0024049C">
              <w:t>-£1,807</w:t>
            </w:r>
          </w:p>
        </w:tc>
        <w:tc>
          <w:tcPr>
            <w:tcW w:w="1228" w:type="dxa"/>
            <w:vAlign w:val="center"/>
          </w:tcPr>
          <w:p w14:paraId="270851CA" w14:textId="77777777" w:rsidR="00F24AEF" w:rsidRDefault="00F24AEF" w:rsidP="000F50F9">
            <w:pPr>
              <w:pStyle w:val="TableParagraph"/>
              <w:spacing w:after="0"/>
              <w:jc w:val="right"/>
            </w:pPr>
            <w:r w:rsidRPr="0024049C">
              <w:t>-£3,614</w:t>
            </w:r>
          </w:p>
        </w:tc>
      </w:tr>
      <w:tr w:rsidR="00F24AEF" w:rsidRPr="00742604" w14:paraId="619497B1" w14:textId="77777777" w:rsidTr="00F24AEF">
        <w:trPr>
          <w:cnfStyle w:val="000000010000" w:firstRow="0" w:lastRow="0" w:firstColumn="0" w:lastColumn="0" w:oddVBand="0" w:evenVBand="0" w:oddHBand="0" w:evenHBand="1" w:firstRowFirstColumn="0" w:firstRowLastColumn="0" w:lastRowFirstColumn="0" w:lastRowLastColumn="0"/>
        </w:trPr>
        <w:tc>
          <w:tcPr>
            <w:tcW w:w="2405" w:type="dxa"/>
          </w:tcPr>
          <w:p w14:paraId="163E7472" w14:textId="77777777" w:rsidR="00F24AEF" w:rsidRPr="00E07CE2" w:rsidRDefault="00F24AEF" w:rsidP="000F50F9">
            <w:pPr>
              <w:spacing w:after="0"/>
            </w:pPr>
            <w:r w:rsidRPr="00E07CE2">
              <w:t>Admittance to hospital</w:t>
            </w:r>
            <w:r>
              <w:t xml:space="preserve"> – emergency</w:t>
            </w:r>
            <w:r>
              <w:rPr>
                <w:rStyle w:val="FootnoteReference"/>
              </w:rPr>
              <w:footnoteReference w:id="106"/>
            </w:r>
          </w:p>
        </w:tc>
        <w:tc>
          <w:tcPr>
            <w:tcW w:w="1227" w:type="dxa"/>
            <w:vAlign w:val="center"/>
          </w:tcPr>
          <w:p w14:paraId="7505F85A" w14:textId="77777777" w:rsidR="00F24AEF" w:rsidRDefault="00F24AEF" w:rsidP="000F50F9">
            <w:pPr>
              <w:pStyle w:val="TableParagraph"/>
              <w:spacing w:after="0"/>
              <w:jc w:val="right"/>
            </w:pPr>
            <w:r w:rsidRPr="0024049C">
              <w:t>-£21,684</w:t>
            </w:r>
          </w:p>
        </w:tc>
        <w:tc>
          <w:tcPr>
            <w:tcW w:w="1227" w:type="dxa"/>
            <w:vAlign w:val="center"/>
          </w:tcPr>
          <w:p w14:paraId="011584B8" w14:textId="77777777" w:rsidR="00F24AEF" w:rsidRDefault="00F24AEF" w:rsidP="000F50F9">
            <w:pPr>
              <w:pStyle w:val="TableParagraph"/>
              <w:spacing w:after="0"/>
              <w:jc w:val="right"/>
            </w:pPr>
            <w:r w:rsidRPr="0024049C">
              <w:t>N/A</w:t>
            </w:r>
          </w:p>
        </w:tc>
        <w:tc>
          <w:tcPr>
            <w:tcW w:w="1228" w:type="dxa"/>
            <w:vAlign w:val="center"/>
          </w:tcPr>
          <w:p w14:paraId="3191293D" w14:textId="77777777" w:rsidR="00F24AEF" w:rsidRDefault="00F24AEF" w:rsidP="000F50F9">
            <w:pPr>
              <w:pStyle w:val="TableParagraph"/>
              <w:spacing w:after="0"/>
              <w:jc w:val="right"/>
            </w:pPr>
            <w:r w:rsidRPr="0024049C">
              <w:t>£0</w:t>
            </w:r>
          </w:p>
        </w:tc>
        <w:tc>
          <w:tcPr>
            <w:tcW w:w="1227" w:type="dxa"/>
            <w:vAlign w:val="center"/>
          </w:tcPr>
          <w:p w14:paraId="28E7CAF3" w14:textId="77777777" w:rsidR="00F24AEF" w:rsidRDefault="00F24AEF" w:rsidP="000F50F9">
            <w:pPr>
              <w:pStyle w:val="TableParagraph"/>
              <w:spacing w:after="0"/>
              <w:jc w:val="right"/>
            </w:pPr>
            <w:r w:rsidRPr="0024049C">
              <w:t>-£3,614</w:t>
            </w:r>
          </w:p>
        </w:tc>
        <w:tc>
          <w:tcPr>
            <w:tcW w:w="1227" w:type="dxa"/>
            <w:vAlign w:val="center"/>
          </w:tcPr>
          <w:p w14:paraId="5F619DAF" w14:textId="77777777" w:rsidR="00F24AEF" w:rsidRDefault="00F24AEF" w:rsidP="000F50F9">
            <w:pPr>
              <w:pStyle w:val="TableParagraph"/>
              <w:spacing w:after="0"/>
              <w:jc w:val="right"/>
            </w:pPr>
            <w:r w:rsidRPr="0024049C">
              <w:t>-£1,807</w:t>
            </w:r>
          </w:p>
        </w:tc>
        <w:tc>
          <w:tcPr>
            <w:tcW w:w="1228" w:type="dxa"/>
            <w:vAlign w:val="center"/>
          </w:tcPr>
          <w:p w14:paraId="3EEB3D1F" w14:textId="77777777" w:rsidR="00F24AEF" w:rsidRDefault="00F24AEF" w:rsidP="000F50F9">
            <w:pPr>
              <w:pStyle w:val="TableParagraph"/>
              <w:spacing w:after="0"/>
              <w:jc w:val="right"/>
            </w:pPr>
            <w:r w:rsidRPr="0024049C">
              <w:t>-£27,105</w:t>
            </w:r>
          </w:p>
        </w:tc>
      </w:tr>
      <w:tr w:rsidR="00F24AEF" w:rsidRPr="00742604" w14:paraId="683640F1" w14:textId="77777777" w:rsidTr="00F24AEF">
        <w:trPr>
          <w:cnfStyle w:val="000000100000" w:firstRow="0" w:lastRow="0" w:firstColumn="0" w:lastColumn="0" w:oddVBand="0" w:evenVBand="0" w:oddHBand="1" w:evenHBand="0" w:firstRowFirstColumn="0" w:firstRowLastColumn="0" w:lastRowFirstColumn="0" w:lastRowLastColumn="0"/>
        </w:trPr>
        <w:tc>
          <w:tcPr>
            <w:tcW w:w="2405" w:type="dxa"/>
            <w:vAlign w:val="center"/>
          </w:tcPr>
          <w:p w14:paraId="1C8C3B71" w14:textId="77777777" w:rsidR="00F24AEF" w:rsidRPr="00BD5367" w:rsidRDefault="00F24AEF" w:rsidP="000F50F9">
            <w:pPr>
              <w:spacing w:after="0"/>
              <w:rPr>
                <w:b/>
              </w:rPr>
            </w:pPr>
            <w:r w:rsidRPr="00BD5367">
              <w:rPr>
                <w:b/>
              </w:rPr>
              <w:t>Total</w:t>
            </w:r>
          </w:p>
        </w:tc>
        <w:tc>
          <w:tcPr>
            <w:tcW w:w="1227" w:type="dxa"/>
            <w:vAlign w:val="center"/>
          </w:tcPr>
          <w:p w14:paraId="4AD1253B" w14:textId="77777777" w:rsidR="00F24AEF" w:rsidRPr="00F34F89" w:rsidRDefault="00F24AEF" w:rsidP="000F50F9">
            <w:pPr>
              <w:spacing w:after="0"/>
              <w:jc w:val="right"/>
              <w:rPr>
                <w:b/>
              </w:rPr>
            </w:pPr>
            <w:r w:rsidRPr="00F24AEF">
              <w:rPr>
                <w:b/>
              </w:rPr>
              <w:t>-£26,231</w:t>
            </w:r>
          </w:p>
        </w:tc>
        <w:tc>
          <w:tcPr>
            <w:tcW w:w="1227" w:type="dxa"/>
            <w:vAlign w:val="center"/>
          </w:tcPr>
          <w:p w14:paraId="548E37B4" w14:textId="77777777" w:rsidR="00F24AEF" w:rsidRPr="00634E36" w:rsidRDefault="0072425E" w:rsidP="000F50F9">
            <w:pPr>
              <w:spacing w:after="0"/>
              <w:jc w:val="right"/>
              <w:rPr>
                <w:b/>
              </w:rPr>
            </w:pPr>
            <w:r>
              <w:rPr>
                <w:b/>
              </w:rPr>
              <w:t>+</w:t>
            </w:r>
            <w:r w:rsidR="00F24AEF" w:rsidRPr="00F24AEF">
              <w:rPr>
                <w:b/>
              </w:rPr>
              <w:t>£3,188</w:t>
            </w:r>
          </w:p>
        </w:tc>
        <w:tc>
          <w:tcPr>
            <w:tcW w:w="1228" w:type="dxa"/>
            <w:vAlign w:val="center"/>
          </w:tcPr>
          <w:p w14:paraId="6EFBC41D" w14:textId="77777777" w:rsidR="00F24AEF" w:rsidRPr="00634E36" w:rsidRDefault="0072425E" w:rsidP="000F50F9">
            <w:pPr>
              <w:spacing w:after="0"/>
              <w:jc w:val="right"/>
              <w:rPr>
                <w:b/>
              </w:rPr>
            </w:pPr>
            <w:r>
              <w:rPr>
                <w:b/>
              </w:rPr>
              <w:t>+</w:t>
            </w:r>
            <w:r w:rsidR="00F24AEF" w:rsidRPr="00F24AEF">
              <w:rPr>
                <w:b/>
              </w:rPr>
              <w:t>£666</w:t>
            </w:r>
          </w:p>
        </w:tc>
        <w:tc>
          <w:tcPr>
            <w:tcW w:w="1227" w:type="dxa"/>
            <w:vAlign w:val="center"/>
          </w:tcPr>
          <w:p w14:paraId="4B9F7090" w14:textId="77777777" w:rsidR="00F24AEF" w:rsidRPr="00634E36" w:rsidRDefault="00F24AEF" w:rsidP="000F50F9">
            <w:pPr>
              <w:spacing w:after="0"/>
              <w:jc w:val="right"/>
              <w:rPr>
                <w:b/>
              </w:rPr>
            </w:pPr>
            <w:r w:rsidRPr="00F24AEF">
              <w:rPr>
                <w:b/>
              </w:rPr>
              <w:t>-£9,138</w:t>
            </w:r>
          </w:p>
        </w:tc>
        <w:tc>
          <w:tcPr>
            <w:tcW w:w="1227" w:type="dxa"/>
            <w:vAlign w:val="center"/>
          </w:tcPr>
          <w:p w14:paraId="3EAE3109" w14:textId="77777777" w:rsidR="00F24AEF" w:rsidRPr="00634E36" w:rsidRDefault="00F24AEF" w:rsidP="000F50F9">
            <w:pPr>
              <w:spacing w:after="0"/>
              <w:jc w:val="right"/>
              <w:rPr>
                <w:b/>
              </w:rPr>
            </w:pPr>
            <w:r w:rsidRPr="00F24AEF">
              <w:rPr>
                <w:b/>
              </w:rPr>
              <w:t>-£4,946</w:t>
            </w:r>
          </w:p>
        </w:tc>
        <w:tc>
          <w:tcPr>
            <w:tcW w:w="1228" w:type="dxa"/>
            <w:vAlign w:val="center"/>
          </w:tcPr>
          <w:p w14:paraId="3B9BEF40" w14:textId="77777777" w:rsidR="00F24AEF" w:rsidRPr="00634E36" w:rsidRDefault="00F24AEF" w:rsidP="000F50F9">
            <w:pPr>
              <w:spacing w:after="0"/>
              <w:jc w:val="right"/>
              <w:rPr>
                <w:b/>
              </w:rPr>
            </w:pPr>
            <w:r w:rsidRPr="00F24AEF">
              <w:rPr>
                <w:b/>
              </w:rPr>
              <w:t>-£36,461</w:t>
            </w:r>
          </w:p>
        </w:tc>
      </w:tr>
    </w:tbl>
    <w:p w14:paraId="17018792" w14:textId="77777777" w:rsidR="00DB459B" w:rsidRDefault="00DB459B" w:rsidP="00AE785D">
      <w:pPr>
        <w:pStyle w:val="BodyText-parastyle"/>
      </w:pPr>
    </w:p>
    <w:p w14:paraId="61509E86" w14:textId="592EE5D7" w:rsidR="00335DB3" w:rsidRDefault="00335DB3" w:rsidP="00AE785D">
      <w:pPr>
        <w:pStyle w:val="BodyText-parastyle"/>
      </w:pPr>
      <w:r>
        <w:t xml:space="preserve">Table </w:t>
      </w:r>
      <w:r w:rsidR="004B7FF5">
        <w:t>8</w:t>
      </w:r>
      <w:r w:rsidR="00EE788C">
        <w:t>.8</w:t>
      </w:r>
      <w:r>
        <w:t xml:space="preserve"> shows that potentially costs have been avoided in </w:t>
      </w:r>
      <w:r w:rsidR="00F34F89">
        <w:t>each</w:t>
      </w:r>
      <w:r>
        <w:t xml:space="preserve"> of the four secondary care services. Specifically:</w:t>
      </w:r>
    </w:p>
    <w:p w14:paraId="6CDE5F88" w14:textId="77777777" w:rsidR="00335DB3" w:rsidRDefault="00335DB3" w:rsidP="00D53262">
      <w:pPr>
        <w:pStyle w:val="ListParagraph"/>
      </w:pPr>
      <w:r>
        <w:t>Attendance at A+E – in the 3 month since engagement there was</w:t>
      </w:r>
      <w:r w:rsidR="004A6F2B">
        <w:t xml:space="preserve"> a cost reduction of </w:t>
      </w:r>
      <w:r w:rsidR="004A6F2B" w:rsidRPr="004A6F2B">
        <w:t>£1,080</w:t>
      </w:r>
    </w:p>
    <w:p w14:paraId="2A03D0FB" w14:textId="77777777" w:rsidR="00335DB3" w:rsidRDefault="00335DB3" w:rsidP="00D53262">
      <w:pPr>
        <w:pStyle w:val="ListParagraph"/>
      </w:pPr>
      <w:r>
        <w:t xml:space="preserve">Outpatient appointments attended - in the 3 month since engagement there was a cost reduction of </w:t>
      </w:r>
      <w:r w:rsidR="00F34F89">
        <w:t>£</w:t>
      </w:r>
      <w:r w:rsidR="004A6F2B" w:rsidRPr="004A6F2B">
        <w:t>4,662</w:t>
      </w:r>
    </w:p>
    <w:p w14:paraId="6F74E84D" w14:textId="77777777" w:rsidR="00335DB3" w:rsidRDefault="00335DB3" w:rsidP="00D53262">
      <w:pPr>
        <w:pStyle w:val="ListParagraph"/>
      </w:pPr>
      <w:r>
        <w:t xml:space="preserve">Admittance to hospital (planned procedure) - in the 3 month since engagement there was a cost reduction of </w:t>
      </w:r>
      <w:r w:rsidR="00F34F89">
        <w:t>£</w:t>
      </w:r>
      <w:r w:rsidR="00F34F89" w:rsidRPr="00F34F89">
        <w:t>3,614</w:t>
      </w:r>
    </w:p>
    <w:p w14:paraId="7300B7DF" w14:textId="77777777" w:rsidR="00335DB3" w:rsidRDefault="00335DB3" w:rsidP="00D53262">
      <w:pPr>
        <w:pStyle w:val="ListParagraph"/>
      </w:pPr>
      <w:r>
        <w:t xml:space="preserve">Admittance to hospital (emergency) - in the 3 month since engagement there was a cost reduction of </w:t>
      </w:r>
      <w:r w:rsidR="00F34F89">
        <w:t>£</w:t>
      </w:r>
      <w:r w:rsidR="004A6F2B" w:rsidRPr="004A6F2B">
        <w:t>27,105</w:t>
      </w:r>
    </w:p>
    <w:p w14:paraId="7D9AE769" w14:textId="77777777" w:rsidR="00335DB3" w:rsidRDefault="00335DB3" w:rsidP="00AE785D">
      <w:pPr>
        <w:pStyle w:val="BodyText-parastyle"/>
      </w:pPr>
      <w:r w:rsidRPr="002B26ED">
        <w:t xml:space="preserve">As a result there is a total cost avoidance of </w:t>
      </w:r>
      <w:r w:rsidR="00F34F89" w:rsidRPr="00F34F89">
        <w:t>£</w:t>
      </w:r>
      <w:r w:rsidR="004A6F2B" w:rsidRPr="004A6F2B">
        <w:t>36,461</w:t>
      </w:r>
      <w:r>
        <w:t xml:space="preserve">, based on </w:t>
      </w:r>
      <w:r w:rsidR="00F34F89">
        <w:t>136</w:t>
      </w:r>
      <w:r w:rsidRPr="002B26ED">
        <w:t xml:space="preserve"> respondents this equ</w:t>
      </w:r>
      <w:r>
        <w:t xml:space="preserve">ates to a cost avoidance of </w:t>
      </w:r>
      <w:r w:rsidR="00F34F89">
        <w:t>£26</w:t>
      </w:r>
      <w:r w:rsidR="004A6F2B">
        <w:t>8</w:t>
      </w:r>
      <w:r w:rsidR="00F34F89">
        <w:t xml:space="preserve"> </w:t>
      </w:r>
      <w:r w:rsidRPr="002B26ED">
        <w:t xml:space="preserve">per service user. </w:t>
      </w:r>
    </w:p>
    <w:p w14:paraId="3AAC9BA9" w14:textId="77777777" w:rsidR="00335DB3" w:rsidRDefault="00335DB3" w:rsidP="00335DB3">
      <w:pPr>
        <w:pStyle w:val="Heading4"/>
        <w:numPr>
          <w:ilvl w:val="3"/>
          <w:numId w:val="11"/>
        </w:numPr>
      </w:pPr>
      <w:r>
        <w:t>Social Care - Cost Avoidance Values</w:t>
      </w:r>
    </w:p>
    <w:p w14:paraId="0ADC6742" w14:textId="767FE51A" w:rsidR="00335DB3" w:rsidRDefault="00335DB3" w:rsidP="00AE785D">
      <w:pPr>
        <w:pStyle w:val="BodyText-parastyle"/>
      </w:pPr>
      <w:r>
        <w:t xml:space="preserve">An overview of the cost avoidance values for social care as a result of My Social Prescription is outlined in table </w:t>
      </w:r>
      <w:r w:rsidR="004B7FF5">
        <w:t>8</w:t>
      </w:r>
      <w:r w:rsidR="00EE788C">
        <w:t>.9</w:t>
      </w:r>
      <w:r>
        <w:t>.</w:t>
      </w:r>
      <w:r w:rsidRPr="00483D45">
        <w:t xml:space="preserve"> </w:t>
      </w:r>
      <w:r>
        <w:t>The cost avoidance values are based on</w:t>
      </w:r>
      <w:r w:rsidR="00463C81">
        <w:t xml:space="preserve"> self-reported service use by 134</w:t>
      </w:r>
      <w:r>
        <w:t xml:space="preserve"> survey respondents.</w:t>
      </w:r>
    </w:p>
    <w:p w14:paraId="4471FFAE" w14:textId="77777777" w:rsidR="00335DB3" w:rsidRDefault="00335DB3"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9</w:t>
      </w:r>
      <w:r w:rsidR="00603E87">
        <w:fldChar w:fldCharType="end"/>
      </w:r>
      <w:r>
        <w:t xml:space="preserve">: Social Care - </w:t>
      </w:r>
      <w:r w:rsidRPr="00176501">
        <w:t xml:space="preserve">Total Cost Avoidance </w:t>
      </w:r>
      <w:r w:rsidR="004B3AF8" w:rsidRPr="00176501">
        <w:t>(</w:t>
      </w:r>
      <w:r w:rsidR="004B3AF8">
        <w:t>Net</w:t>
      </w:r>
      <w:r w:rsidR="004B3AF8">
        <w:rPr>
          <w:rStyle w:val="FootnoteReference"/>
        </w:rPr>
        <w:footnoteReference w:id="107"/>
      </w:r>
      <w:r w:rsidR="004B3AF8" w:rsidRPr="00176501">
        <w:t xml:space="preserve">) </w:t>
      </w:r>
      <w:r>
        <w:t xml:space="preserve">(over a 3 month period (based on </w:t>
      </w:r>
      <w:r w:rsidR="00463C81">
        <w:t>134</w:t>
      </w:r>
      <w:r>
        <w:t xml:space="preserve"> survey respondents))</w:t>
      </w:r>
    </w:p>
    <w:tbl>
      <w:tblPr>
        <w:tblStyle w:val="TableGrid"/>
        <w:tblW w:w="9769" w:type="dxa"/>
        <w:tblLook w:val="04A0" w:firstRow="1" w:lastRow="0" w:firstColumn="1" w:lastColumn="0" w:noHBand="0" w:noVBand="1"/>
      </w:tblPr>
      <w:tblGrid>
        <w:gridCol w:w="2670"/>
        <w:gridCol w:w="1257"/>
        <w:gridCol w:w="1223"/>
        <w:gridCol w:w="1158"/>
        <w:gridCol w:w="1258"/>
        <w:gridCol w:w="1175"/>
        <w:gridCol w:w="1028"/>
      </w:tblGrid>
      <w:tr w:rsidR="00463C81" w:rsidRPr="00742604" w14:paraId="0CB6F8DC" w14:textId="77777777" w:rsidTr="00463C81">
        <w:trPr>
          <w:cnfStyle w:val="100000000000" w:firstRow="1" w:lastRow="0" w:firstColumn="0" w:lastColumn="0" w:oddVBand="0" w:evenVBand="0" w:oddHBand="0" w:evenHBand="0" w:firstRowFirstColumn="0" w:firstRowLastColumn="0" w:lastRowFirstColumn="0" w:lastRowLastColumn="0"/>
          <w:tblHeader/>
        </w:trPr>
        <w:tc>
          <w:tcPr>
            <w:tcW w:w="2670" w:type="dxa"/>
          </w:tcPr>
          <w:p w14:paraId="646A9298" w14:textId="77777777" w:rsidR="00463C81" w:rsidRPr="00742604" w:rsidRDefault="00463C81" w:rsidP="00F01BE0">
            <w:pPr>
              <w:pStyle w:val="TableHeading"/>
            </w:pPr>
          </w:p>
        </w:tc>
        <w:tc>
          <w:tcPr>
            <w:tcW w:w="1257" w:type="dxa"/>
          </w:tcPr>
          <w:p w14:paraId="6786CFFF" w14:textId="77777777" w:rsidR="00463C81" w:rsidRDefault="00463C81" w:rsidP="00F01BE0">
            <w:pPr>
              <w:pStyle w:val="TableHeading"/>
            </w:pPr>
            <w:r>
              <w:t>Basildon and Brentwood</w:t>
            </w:r>
          </w:p>
        </w:tc>
        <w:tc>
          <w:tcPr>
            <w:tcW w:w="1223" w:type="dxa"/>
          </w:tcPr>
          <w:p w14:paraId="39E6505D" w14:textId="77777777" w:rsidR="00463C81" w:rsidRDefault="00463C81" w:rsidP="00F01BE0">
            <w:pPr>
              <w:pStyle w:val="TableHeading"/>
            </w:pPr>
            <w:r>
              <w:t>Castle Point and Rochford</w:t>
            </w:r>
          </w:p>
        </w:tc>
        <w:tc>
          <w:tcPr>
            <w:tcW w:w="1158" w:type="dxa"/>
          </w:tcPr>
          <w:p w14:paraId="53A5DABF" w14:textId="77777777" w:rsidR="00463C81" w:rsidRDefault="00463C81" w:rsidP="00F01BE0">
            <w:pPr>
              <w:pStyle w:val="TableHeading"/>
            </w:pPr>
            <w:r>
              <w:t>Mid Essex</w:t>
            </w:r>
          </w:p>
        </w:tc>
        <w:tc>
          <w:tcPr>
            <w:tcW w:w="1258" w:type="dxa"/>
          </w:tcPr>
          <w:p w14:paraId="1CC5BEDC" w14:textId="77777777" w:rsidR="00463C81" w:rsidRDefault="00463C81" w:rsidP="00F01BE0">
            <w:pPr>
              <w:pStyle w:val="TableHeading"/>
            </w:pPr>
            <w:r>
              <w:t xml:space="preserve">NE Essex Colchester </w:t>
            </w:r>
          </w:p>
        </w:tc>
        <w:tc>
          <w:tcPr>
            <w:tcW w:w="1175" w:type="dxa"/>
          </w:tcPr>
          <w:p w14:paraId="6937BFDB" w14:textId="77777777" w:rsidR="00463C81" w:rsidRDefault="00463C81" w:rsidP="00F01BE0">
            <w:pPr>
              <w:pStyle w:val="TableHeading"/>
            </w:pPr>
            <w:r>
              <w:t xml:space="preserve">West Essex </w:t>
            </w:r>
          </w:p>
        </w:tc>
        <w:tc>
          <w:tcPr>
            <w:tcW w:w="1028" w:type="dxa"/>
          </w:tcPr>
          <w:p w14:paraId="1AC82EC5" w14:textId="77777777" w:rsidR="00463C81" w:rsidRDefault="00463C81" w:rsidP="00F01BE0">
            <w:pPr>
              <w:pStyle w:val="TableHeading"/>
            </w:pPr>
            <w:r>
              <w:t xml:space="preserve">Total </w:t>
            </w:r>
          </w:p>
        </w:tc>
      </w:tr>
      <w:tr w:rsidR="00463C81" w:rsidRPr="00742604" w14:paraId="1C6B63C0" w14:textId="77777777" w:rsidTr="00463C81">
        <w:trPr>
          <w:cnfStyle w:val="000000100000" w:firstRow="0" w:lastRow="0" w:firstColumn="0" w:lastColumn="0" w:oddVBand="0" w:evenVBand="0" w:oddHBand="1" w:evenHBand="0" w:firstRowFirstColumn="0" w:firstRowLastColumn="0" w:lastRowFirstColumn="0" w:lastRowLastColumn="0"/>
        </w:trPr>
        <w:tc>
          <w:tcPr>
            <w:tcW w:w="2670" w:type="dxa"/>
          </w:tcPr>
          <w:p w14:paraId="6275D9B9" w14:textId="77777777" w:rsidR="00463C81" w:rsidRPr="00E07CE2" w:rsidRDefault="00463C81" w:rsidP="00F01BE0">
            <w:r w:rsidRPr="005150A2">
              <w:t>Hours of support have you received from a social worker</w:t>
            </w:r>
          </w:p>
        </w:tc>
        <w:tc>
          <w:tcPr>
            <w:tcW w:w="1257" w:type="dxa"/>
            <w:vAlign w:val="center"/>
          </w:tcPr>
          <w:p w14:paraId="5E2E8B30" w14:textId="77777777" w:rsidR="00463C81" w:rsidRDefault="00463C81" w:rsidP="00463C81">
            <w:pPr>
              <w:pStyle w:val="TableParagraph"/>
              <w:jc w:val="right"/>
            </w:pPr>
            <w:r w:rsidRPr="00463C81">
              <w:t>-£741</w:t>
            </w:r>
          </w:p>
        </w:tc>
        <w:tc>
          <w:tcPr>
            <w:tcW w:w="1223" w:type="dxa"/>
            <w:vAlign w:val="center"/>
          </w:tcPr>
          <w:p w14:paraId="3A9E8961" w14:textId="77777777" w:rsidR="00463C81" w:rsidRDefault="00463C81" w:rsidP="00463C81">
            <w:pPr>
              <w:pStyle w:val="TableParagraph"/>
              <w:jc w:val="right"/>
            </w:pPr>
            <w:r w:rsidRPr="00463C81">
              <w:t>-£6,042</w:t>
            </w:r>
          </w:p>
        </w:tc>
        <w:tc>
          <w:tcPr>
            <w:tcW w:w="1158" w:type="dxa"/>
            <w:vAlign w:val="center"/>
          </w:tcPr>
          <w:p w14:paraId="6F091904" w14:textId="77777777" w:rsidR="00463C81" w:rsidRDefault="00463C81" w:rsidP="00463C81">
            <w:pPr>
              <w:pStyle w:val="TableParagraph"/>
              <w:jc w:val="right"/>
            </w:pPr>
            <w:r>
              <w:t>0</w:t>
            </w:r>
          </w:p>
        </w:tc>
        <w:tc>
          <w:tcPr>
            <w:tcW w:w="1258" w:type="dxa"/>
            <w:vAlign w:val="center"/>
          </w:tcPr>
          <w:p w14:paraId="4B1192EE" w14:textId="77777777" w:rsidR="00463C81" w:rsidRDefault="00463C81" w:rsidP="00463C81">
            <w:pPr>
              <w:pStyle w:val="TableParagraph"/>
              <w:jc w:val="right"/>
            </w:pPr>
            <w:r w:rsidRPr="00463C81">
              <w:t>-£698</w:t>
            </w:r>
          </w:p>
        </w:tc>
        <w:tc>
          <w:tcPr>
            <w:tcW w:w="1175" w:type="dxa"/>
            <w:vAlign w:val="center"/>
          </w:tcPr>
          <w:p w14:paraId="7C3EA4A0" w14:textId="77777777" w:rsidR="00463C81" w:rsidRDefault="0072425E" w:rsidP="00463C81">
            <w:pPr>
              <w:pStyle w:val="TableParagraph"/>
              <w:jc w:val="right"/>
            </w:pPr>
            <w:r>
              <w:t>+</w:t>
            </w:r>
            <w:r w:rsidR="00463C81" w:rsidRPr="00463C81">
              <w:t>£2,138</w:t>
            </w:r>
          </w:p>
        </w:tc>
        <w:tc>
          <w:tcPr>
            <w:tcW w:w="1028" w:type="dxa"/>
            <w:vAlign w:val="center"/>
          </w:tcPr>
          <w:p w14:paraId="0A3E8B1C" w14:textId="77777777" w:rsidR="00463C81" w:rsidRPr="00463C81" w:rsidRDefault="00463C81" w:rsidP="00463C81">
            <w:pPr>
              <w:pStyle w:val="TableParagraph"/>
              <w:jc w:val="right"/>
            </w:pPr>
            <w:r w:rsidRPr="00463C81">
              <w:t>-£5,343</w:t>
            </w:r>
          </w:p>
        </w:tc>
      </w:tr>
    </w:tbl>
    <w:p w14:paraId="5EDE8787" w14:textId="77777777" w:rsidR="00335DB3" w:rsidRDefault="00335DB3" w:rsidP="00AE785D">
      <w:pPr>
        <w:pStyle w:val="BodyText-parastyle"/>
      </w:pPr>
    </w:p>
    <w:p w14:paraId="1A022A86" w14:textId="435854E9" w:rsidR="00335DB3" w:rsidRDefault="00335DB3" w:rsidP="00AE785D">
      <w:pPr>
        <w:pStyle w:val="BodyText-parastyle"/>
      </w:pPr>
      <w:r>
        <w:t xml:space="preserve">Table </w:t>
      </w:r>
      <w:r w:rsidR="004B7FF5">
        <w:t>8</w:t>
      </w:r>
      <w:r w:rsidR="00EE788C">
        <w:t>.9</w:t>
      </w:r>
      <w:r>
        <w:t xml:space="preserve"> shows that there has been a cost avoidance of </w:t>
      </w:r>
      <w:r w:rsidR="00463C81" w:rsidRPr="00463C81">
        <w:t>-£5,343</w:t>
      </w:r>
      <w:r>
        <w:t xml:space="preserve"> in relation to social care, based on </w:t>
      </w:r>
      <w:r w:rsidR="00463C81">
        <w:t>134</w:t>
      </w:r>
      <w:r>
        <w:t xml:space="preserve"> respondents this equates to a cost of </w:t>
      </w:r>
      <w:r w:rsidR="00463C81">
        <w:t>-£40</w:t>
      </w:r>
      <w:r>
        <w:t xml:space="preserve"> per service user. </w:t>
      </w:r>
    </w:p>
    <w:p w14:paraId="60262068" w14:textId="77777777" w:rsidR="009F3F52" w:rsidRDefault="009F3F52" w:rsidP="00AE785D">
      <w:pPr>
        <w:pStyle w:val="BodyText-parastyle"/>
      </w:pPr>
    </w:p>
    <w:p w14:paraId="31B62BCB" w14:textId="77777777" w:rsidR="009F3F52" w:rsidRDefault="009F3F52" w:rsidP="00AE785D">
      <w:pPr>
        <w:pStyle w:val="BodyText-parastyle"/>
      </w:pPr>
    </w:p>
    <w:p w14:paraId="2326326E" w14:textId="77777777" w:rsidR="009C2906" w:rsidRDefault="009C2906" w:rsidP="00AE785D">
      <w:pPr>
        <w:pStyle w:val="BodyText-parastyle"/>
      </w:pPr>
    </w:p>
    <w:p w14:paraId="0B696B6C" w14:textId="77777777" w:rsidR="009C2906" w:rsidRDefault="009C2906" w:rsidP="00AE785D">
      <w:pPr>
        <w:pStyle w:val="BodyText-parastyle"/>
      </w:pPr>
    </w:p>
    <w:p w14:paraId="664AD052" w14:textId="77777777" w:rsidR="009C2906" w:rsidRDefault="009C2906" w:rsidP="00AE785D">
      <w:pPr>
        <w:pStyle w:val="BodyText-parastyle"/>
      </w:pPr>
    </w:p>
    <w:p w14:paraId="69A57F7D" w14:textId="77777777" w:rsidR="009F3F52" w:rsidRDefault="009F3F52" w:rsidP="00AE785D">
      <w:pPr>
        <w:pStyle w:val="BodyText-parastyle"/>
      </w:pPr>
    </w:p>
    <w:p w14:paraId="0D18C511" w14:textId="77777777" w:rsidR="00335DB3" w:rsidRDefault="00335DB3" w:rsidP="00335DB3">
      <w:pPr>
        <w:pStyle w:val="Heading4"/>
        <w:numPr>
          <w:ilvl w:val="3"/>
          <w:numId w:val="12"/>
        </w:numPr>
      </w:pPr>
      <w:r>
        <w:t xml:space="preserve">Total Cost Avoidance </w:t>
      </w:r>
    </w:p>
    <w:p w14:paraId="0A4CCAD0" w14:textId="77777777" w:rsidR="00335DB3" w:rsidRDefault="00BD7D3E" w:rsidP="00AE785D">
      <w:pPr>
        <w:pStyle w:val="BodyText-parastyle"/>
      </w:pPr>
      <w:r>
        <w:t>The</w:t>
      </w:r>
      <w:r w:rsidR="00335DB3">
        <w:t xml:space="preserve"> total cost avoidance for primary</w:t>
      </w:r>
      <w:r>
        <w:t>,</w:t>
      </w:r>
      <w:r w:rsidR="00335DB3">
        <w:t xml:space="preserve"> secondary </w:t>
      </w:r>
      <w:r>
        <w:t xml:space="preserve">and social </w:t>
      </w:r>
      <w:r w:rsidR="00335DB3">
        <w:t xml:space="preserve">care as a result of </w:t>
      </w:r>
      <w:r w:rsidR="0095196A">
        <w:t>the Social Prescribing projects</w:t>
      </w:r>
      <w:r w:rsidR="00335DB3">
        <w:t xml:space="preserve"> is </w:t>
      </w:r>
      <w:r w:rsidRPr="00BD7D3E">
        <w:t>-£39,726</w:t>
      </w:r>
      <w:r w:rsidR="009F3F52">
        <w:t xml:space="preserve"> and the </w:t>
      </w:r>
      <w:r w:rsidR="00335DB3">
        <w:t xml:space="preserve">estimated cost avoidance per service user (based on </w:t>
      </w:r>
      <w:r w:rsidR="0095196A">
        <w:t>136</w:t>
      </w:r>
      <w:r w:rsidR="00335DB3">
        <w:t xml:space="preserve"> survey respondents)</w:t>
      </w:r>
      <w:r>
        <w:t xml:space="preserve"> is £292</w:t>
      </w:r>
      <w:r w:rsidR="00130415">
        <w:t xml:space="preserve">. </w:t>
      </w:r>
    </w:p>
    <w:p w14:paraId="3F0D326D" w14:textId="77777777" w:rsidR="00335DB3" w:rsidRDefault="00335DB3"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10</w:t>
      </w:r>
      <w:r w:rsidR="00603E87">
        <w:fldChar w:fldCharType="end"/>
      </w:r>
      <w:r>
        <w:t xml:space="preserve">: Estimated total cost avoidance (over a 3 month period (based on </w:t>
      </w:r>
      <w:r w:rsidR="00BD07A9">
        <w:t>136</w:t>
      </w:r>
      <w:r>
        <w:t xml:space="preserve"> survey respondents))</w:t>
      </w:r>
    </w:p>
    <w:tbl>
      <w:tblPr>
        <w:tblStyle w:val="ForfasTableGrid1"/>
        <w:tblW w:w="9634" w:type="dxa"/>
        <w:tblLook w:val="0420" w:firstRow="1" w:lastRow="0" w:firstColumn="0" w:lastColumn="0" w:noHBand="0" w:noVBand="1"/>
      </w:tblPr>
      <w:tblGrid>
        <w:gridCol w:w="4817"/>
        <w:gridCol w:w="4817"/>
      </w:tblGrid>
      <w:tr w:rsidR="00130415" w:rsidRPr="008F47AE" w14:paraId="7C5C3967" w14:textId="77777777" w:rsidTr="00DB459B">
        <w:trPr>
          <w:cnfStyle w:val="100000000000" w:firstRow="1" w:lastRow="0" w:firstColumn="0" w:lastColumn="0" w:oddVBand="0" w:evenVBand="0" w:oddHBand="0" w:evenHBand="0" w:firstRowFirstColumn="0" w:firstRowLastColumn="0" w:lastRowFirstColumn="0" w:lastRowLastColumn="0"/>
          <w:trHeight w:val="522"/>
        </w:trPr>
        <w:tc>
          <w:tcPr>
            <w:tcW w:w="4817" w:type="dxa"/>
            <w:hideMark/>
          </w:tcPr>
          <w:p w14:paraId="78546785" w14:textId="77777777" w:rsidR="00130415" w:rsidRPr="008F47AE" w:rsidRDefault="00130415" w:rsidP="00130415">
            <w:pPr>
              <w:pStyle w:val="TableHeading"/>
            </w:pPr>
            <w:r w:rsidRPr="008F47AE">
              <w:t>Cost avoidance (</w:t>
            </w:r>
            <w:r>
              <w:t>net</w:t>
            </w:r>
            <w:r w:rsidRPr="008F47AE">
              <w:t xml:space="preserve">) – survey findings  </w:t>
            </w:r>
          </w:p>
        </w:tc>
        <w:tc>
          <w:tcPr>
            <w:tcW w:w="4817" w:type="dxa"/>
            <w:hideMark/>
          </w:tcPr>
          <w:p w14:paraId="5914570B" w14:textId="77777777" w:rsidR="00130415" w:rsidRPr="008F47AE" w:rsidRDefault="00130415" w:rsidP="00130415">
            <w:pPr>
              <w:pStyle w:val="TableHeading"/>
            </w:pPr>
            <w:r w:rsidRPr="008F47AE">
              <w:t>Cost avoidance per service user (</w:t>
            </w:r>
            <w:r>
              <w:t>net</w:t>
            </w:r>
            <w:r w:rsidRPr="008F47AE">
              <w:t>)</w:t>
            </w:r>
          </w:p>
        </w:tc>
      </w:tr>
      <w:tr w:rsidR="00130415" w:rsidRPr="008F47AE" w14:paraId="20F88454" w14:textId="77777777" w:rsidTr="00DB459B">
        <w:trPr>
          <w:cnfStyle w:val="000000100000" w:firstRow="0" w:lastRow="0" w:firstColumn="0" w:lastColumn="0" w:oddVBand="0" w:evenVBand="0" w:oddHBand="1" w:evenHBand="0" w:firstRowFirstColumn="0" w:firstRowLastColumn="0" w:lastRowFirstColumn="0" w:lastRowLastColumn="0"/>
          <w:trHeight w:val="416"/>
        </w:trPr>
        <w:tc>
          <w:tcPr>
            <w:tcW w:w="4817" w:type="dxa"/>
            <w:vAlign w:val="center"/>
          </w:tcPr>
          <w:p w14:paraId="791320A5" w14:textId="77777777" w:rsidR="00130415" w:rsidRPr="008F47AE" w:rsidRDefault="00130415" w:rsidP="00F01BE0">
            <w:pPr>
              <w:pStyle w:val="TableParagraph"/>
              <w:jc w:val="right"/>
            </w:pPr>
            <w:r w:rsidRPr="00463C81">
              <w:t>-£39,726</w:t>
            </w:r>
          </w:p>
        </w:tc>
        <w:tc>
          <w:tcPr>
            <w:tcW w:w="4817" w:type="dxa"/>
            <w:vAlign w:val="center"/>
          </w:tcPr>
          <w:p w14:paraId="6DD8606F" w14:textId="77777777" w:rsidR="00130415" w:rsidRPr="008F47AE" w:rsidRDefault="00130415" w:rsidP="00130415">
            <w:pPr>
              <w:pStyle w:val="TableParagraph"/>
              <w:jc w:val="right"/>
            </w:pPr>
            <w:r w:rsidRPr="0095196A">
              <w:t>-£292</w:t>
            </w:r>
          </w:p>
        </w:tc>
      </w:tr>
    </w:tbl>
    <w:p w14:paraId="78F943AF" w14:textId="77777777" w:rsidR="00130415" w:rsidRDefault="00130415" w:rsidP="00335DB3"/>
    <w:p w14:paraId="0DA6811F" w14:textId="77777777" w:rsidR="00335DB3" w:rsidRDefault="00335DB3" w:rsidP="00335DB3">
      <w:pPr>
        <w:pStyle w:val="Heading2"/>
      </w:pPr>
      <w:bookmarkStart w:id="68" w:name="_Toc497934294"/>
      <w:r>
        <w:t>Estimated Cost Avoidance for Entire Programme</w:t>
      </w:r>
      <w:bookmarkEnd w:id="68"/>
    </w:p>
    <w:p w14:paraId="47B42F25" w14:textId="77777777" w:rsidR="00F561E5" w:rsidRDefault="00130415" w:rsidP="00AE785D">
      <w:pPr>
        <w:pStyle w:val="BodyText-parastyle"/>
      </w:pPr>
      <w:r>
        <w:t xml:space="preserve">In order to estimate the </w:t>
      </w:r>
      <w:r w:rsidR="00F561E5">
        <w:t>cost avoidance for the entire programme the cost avoidance figures from the survey findings have been scaled up using two approaches:</w:t>
      </w:r>
    </w:p>
    <w:p w14:paraId="668170B6" w14:textId="77777777" w:rsidR="00B02411" w:rsidRPr="00F561E5" w:rsidRDefault="00B02411" w:rsidP="00AE785D">
      <w:pPr>
        <w:pStyle w:val="BodyText-parastylebold"/>
      </w:pPr>
      <w:r w:rsidRPr="00F561E5">
        <w:t>Net Cost Avoidance:</w:t>
      </w:r>
    </w:p>
    <w:p w14:paraId="0ECDE0E5" w14:textId="77777777" w:rsidR="00B02411" w:rsidRDefault="00B02411" w:rsidP="00AE785D">
      <w:pPr>
        <w:pStyle w:val="BodyText-parastyle"/>
      </w:pPr>
      <w:r>
        <w:t>Net savings have been calculated using the following approach:</w:t>
      </w:r>
    </w:p>
    <w:p w14:paraId="0B395E74" w14:textId="77777777" w:rsidR="00B02411" w:rsidRDefault="00B02411" w:rsidP="00D53262">
      <w:pPr>
        <w:pStyle w:val="ListParagraph"/>
      </w:pPr>
      <w:r>
        <w:t>Net cost avoidance for all survey respondents (this takes into account those that reported a reduction and an increase)</w:t>
      </w:r>
      <w:r w:rsidR="00B34ABA">
        <w:t>;</w:t>
      </w:r>
    </w:p>
    <w:p w14:paraId="32E93087" w14:textId="77777777" w:rsidR="00B02411" w:rsidRDefault="00B02411" w:rsidP="00D53262">
      <w:pPr>
        <w:pStyle w:val="ListParagraph"/>
      </w:pPr>
      <w:r>
        <w:t xml:space="preserve">Divided by the number of people that responded to the survey question to get the </w:t>
      </w:r>
      <w:r w:rsidRPr="00F52D97">
        <w:t>‘cost avoidance per person’</w:t>
      </w:r>
      <w:r w:rsidR="00B34ABA">
        <w:t>;</w:t>
      </w:r>
    </w:p>
    <w:p w14:paraId="36F78136" w14:textId="77777777" w:rsidR="00B02411" w:rsidRDefault="00B02411" w:rsidP="00D53262">
      <w:pPr>
        <w:pStyle w:val="ListParagraph"/>
      </w:pPr>
      <w:r>
        <w:t>This figure was multiplied by the total number of people supported by the project to estimate the cost avoidance for the entire project / per service area</w:t>
      </w:r>
      <w:r w:rsidR="00B34ABA">
        <w:t>;</w:t>
      </w:r>
    </w:p>
    <w:p w14:paraId="5024CA1C" w14:textId="77777777" w:rsidR="00B02411" w:rsidRDefault="00B02411" w:rsidP="00D53262">
      <w:pPr>
        <w:pStyle w:val="ListParagraph"/>
      </w:pPr>
      <w:r>
        <w:t xml:space="preserve">The total figure for each project was added to estimate the total net cost </w:t>
      </w:r>
      <w:r w:rsidRPr="00F52D97">
        <w:t>avoidance per service area at programme level</w:t>
      </w:r>
      <w:r w:rsidR="00B34ABA">
        <w:t>.</w:t>
      </w:r>
    </w:p>
    <w:p w14:paraId="2E6A77AE" w14:textId="77777777" w:rsidR="00F561E5" w:rsidRPr="00F561E5" w:rsidRDefault="00F561E5" w:rsidP="00AE785D">
      <w:pPr>
        <w:pStyle w:val="BodyText-parastylebold"/>
      </w:pPr>
      <w:r w:rsidRPr="00F561E5">
        <w:t xml:space="preserve">Gross </w:t>
      </w:r>
      <w:r>
        <w:t>Cost Avoidance</w:t>
      </w:r>
      <w:r w:rsidRPr="00F561E5">
        <w:t xml:space="preserve">: </w:t>
      </w:r>
    </w:p>
    <w:p w14:paraId="457E0A14" w14:textId="77777777" w:rsidR="00F561E5" w:rsidRDefault="00F561E5" w:rsidP="00AE785D">
      <w:pPr>
        <w:pStyle w:val="BodyText-parastyle"/>
      </w:pPr>
      <w:r>
        <w:t>Gross savings have been calculate</w:t>
      </w:r>
      <w:r w:rsidR="00B02411">
        <w:t>d using the following approach:</w:t>
      </w:r>
    </w:p>
    <w:p w14:paraId="0F558021" w14:textId="77777777" w:rsidR="00F561E5" w:rsidRDefault="00F561E5" w:rsidP="00D53262">
      <w:pPr>
        <w:pStyle w:val="ListParagraph"/>
      </w:pPr>
      <w:r>
        <w:t>Total cost avoidance for those that reported a reduction (not taking into account those that reported any increase)</w:t>
      </w:r>
      <w:r w:rsidR="00933CDC">
        <w:t>;</w:t>
      </w:r>
    </w:p>
    <w:p w14:paraId="5E2123D0" w14:textId="77777777" w:rsidR="00F561E5" w:rsidRDefault="00F561E5" w:rsidP="00D53262">
      <w:pPr>
        <w:pStyle w:val="ListParagraph"/>
      </w:pPr>
      <w:r>
        <w:t>Divided by the number of people that reported a reduction to get the ‘cost avoidance per person’</w:t>
      </w:r>
      <w:r w:rsidR="00933CDC">
        <w:t>;</w:t>
      </w:r>
    </w:p>
    <w:p w14:paraId="3867DAC0" w14:textId="77777777" w:rsidR="00F561E5" w:rsidRDefault="00F561E5" w:rsidP="00D53262">
      <w:pPr>
        <w:pStyle w:val="ListParagraph"/>
      </w:pPr>
      <w:r>
        <w:t>Using the percentage of respondents that reported reduction the equivalent number for the total number of people supported was calculated (e.g. if 9% of respondents reported a reduction in GP hours</w:t>
      </w:r>
      <w:r w:rsidR="00933CDC">
        <w:t xml:space="preserve">, </w:t>
      </w:r>
      <w:r>
        <w:t>9% of the total number of people supported was calculated to estimate the potential number of people who could have experienced a reduction)</w:t>
      </w:r>
      <w:r w:rsidR="00933CDC">
        <w:t>;</w:t>
      </w:r>
    </w:p>
    <w:p w14:paraId="033FB8B8" w14:textId="77777777" w:rsidR="00F561E5" w:rsidRDefault="00F561E5" w:rsidP="00D53262">
      <w:pPr>
        <w:pStyle w:val="ListParagraph"/>
      </w:pPr>
      <w:r>
        <w:t xml:space="preserve">This figure was multiplied by the </w:t>
      </w:r>
      <w:r w:rsidRPr="00F52D97">
        <w:t>‘cost avoidance per person’</w:t>
      </w:r>
      <w:r>
        <w:t xml:space="preserve"> to estimate the cost avoidance for the entire project / per service area</w:t>
      </w:r>
      <w:r w:rsidR="00933CDC">
        <w:t>;</w:t>
      </w:r>
    </w:p>
    <w:p w14:paraId="3E9E0A77" w14:textId="77777777" w:rsidR="00F561E5" w:rsidRDefault="00F561E5" w:rsidP="00D53262">
      <w:pPr>
        <w:pStyle w:val="ListParagraph"/>
      </w:pPr>
      <w:r>
        <w:t>The total figure for each project was added to estimate a total cost avoidance per service area at programme level</w:t>
      </w:r>
      <w:r w:rsidR="00933CDC">
        <w:t>.</w:t>
      </w:r>
    </w:p>
    <w:p w14:paraId="500443BC" w14:textId="77777777" w:rsidR="00B02411" w:rsidRDefault="00B02411" w:rsidP="00AE785D">
      <w:pPr>
        <w:pStyle w:val="BodyText-parastyle"/>
      </w:pPr>
      <w:r>
        <w:t>Both</w:t>
      </w:r>
      <w:r w:rsidRPr="00F52D97">
        <w:t xml:space="preserve"> analysis assumes that the cost outcomes identified for the baseline and follow-up sample are representative of the project as a whole.</w:t>
      </w:r>
    </w:p>
    <w:p w14:paraId="4EA75F3C" w14:textId="77777777" w:rsidR="00B02411" w:rsidRDefault="00B02411" w:rsidP="00AE785D">
      <w:pPr>
        <w:pStyle w:val="BodyText-parastyle"/>
      </w:pPr>
      <w:r>
        <w:t>Both analysis are presented in the following section to illustrate the potential minimum cost avoidance values (net values) and maximum cost avoidance values (gross values).</w:t>
      </w:r>
    </w:p>
    <w:p w14:paraId="05FD55C5" w14:textId="77777777" w:rsidR="00B02411" w:rsidRDefault="00B02411" w:rsidP="00AE785D">
      <w:pPr>
        <w:pStyle w:val="BodyText-parastyle"/>
      </w:pPr>
      <w:r>
        <w:t xml:space="preserve">The survey findings relate only to the Basildon and Brentwood; Castle Point and Rochford; Mid Essex; North East Essex (My Social Prescription); and West Essex projects. Therefore any scaled up / estimated data is based on the total number of people supported for each of these projects (which excludes Southend). </w:t>
      </w:r>
    </w:p>
    <w:p w14:paraId="06EDF59F" w14:textId="77777777" w:rsidR="00F561E5" w:rsidRDefault="00F561E5" w:rsidP="00D465F1">
      <w:pPr>
        <w:pStyle w:val="Heading3"/>
      </w:pPr>
      <w:r>
        <w:t>Primary Care – Estimated / Scaled Up Cost Avoidance Values</w:t>
      </w:r>
    </w:p>
    <w:p w14:paraId="71F488AF" w14:textId="1D81D7E3" w:rsidR="00F561E5" w:rsidRDefault="00F561E5" w:rsidP="00AE785D">
      <w:pPr>
        <w:pStyle w:val="BodyText-parastyle"/>
      </w:pPr>
      <w:r>
        <w:t xml:space="preserve">An overview of the estimated cost avoidance values for primary care as a result of the Social Prescribing projects is outlined in tables </w:t>
      </w:r>
      <w:r w:rsidR="004B7FF5">
        <w:t>8</w:t>
      </w:r>
      <w:r>
        <w:t>.1</w:t>
      </w:r>
      <w:r w:rsidR="00EE788C">
        <w:t>1</w:t>
      </w:r>
      <w:r w:rsidR="004B7FF5">
        <w:t xml:space="preserve"> and 8</w:t>
      </w:r>
      <w:r>
        <w:t>.1</w:t>
      </w:r>
      <w:r w:rsidR="00EE788C">
        <w:t>2</w:t>
      </w:r>
      <w:r>
        <w:t xml:space="preserve">. The cost avoidance values are based on self-reported service use by 136 survey respondents (125 respondents in relation to hours spent with a GP) that have been scaled up </w:t>
      </w:r>
      <w:r w:rsidR="006A6086">
        <w:t xml:space="preserve">to reflect the entire project. </w:t>
      </w:r>
    </w:p>
    <w:p w14:paraId="4D2C9D0E" w14:textId="77777777" w:rsidR="00D00375" w:rsidRDefault="00D00375"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11</w:t>
      </w:r>
      <w:r w:rsidR="00603E87">
        <w:fldChar w:fldCharType="end"/>
      </w:r>
      <w:r>
        <w:t xml:space="preserve">: Primary Care - </w:t>
      </w:r>
      <w:r w:rsidRPr="00176501">
        <w:t>Total Cost Avoidance (</w:t>
      </w:r>
      <w:r w:rsidR="00B02411">
        <w:t>Net</w:t>
      </w:r>
      <w:r w:rsidRPr="00176501">
        <w:t xml:space="preserve">) </w:t>
      </w:r>
      <w:r>
        <w:t>(over a 3 month period (based on 136 survey respondents and scaled up for 29</w:t>
      </w:r>
      <w:r w:rsidR="00B02411">
        <w:t>23</w:t>
      </w:r>
      <w:r>
        <w:t xml:space="preserve"> </w:t>
      </w:r>
      <w:r w:rsidR="00B02411">
        <w:t>people supported</w:t>
      </w:r>
      <w:r>
        <w:t>))</w:t>
      </w:r>
    </w:p>
    <w:tbl>
      <w:tblPr>
        <w:tblStyle w:val="ForfasTableGrid1"/>
        <w:tblW w:w="9634" w:type="dxa"/>
        <w:tblLook w:val="04A0" w:firstRow="1" w:lastRow="0" w:firstColumn="1" w:lastColumn="0" w:noHBand="0" w:noVBand="1"/>
      </w:tblPr>
      <w:tblGrid>
        <w:gridCol w:w="5382"/>
        <w:gridCol w:w="4252"/>
      </w:tblGrid>
      <w:tr w:rsidR="00F561E5" w:rsidRPr="00743AAB" w14:paraId="11AD1FB7" w14:textId="77777777" w:rsidTr="00D00375">
        <w:trPr>
          <w:cnfStyle w:val="100000000000" w:firstRow="1" w:lastRow="0" w:firstColumn="0" w:lastColumn="0" w:oddVBand="0" w:evenVBand="0" w:oddHBand="0" w:evenHBand="0" w:firstRowFirstColumn="0" w:firstRowLastColumn="0" w:lastRowFirstColumn="0" w:lastRowLastColumn="0"/>
        </w:trPr>
        <w:tc>
          <w:tcPr>
            <w:tcW w:w="5382" w:type="dxa"/>
          </w:tcPr>
          <w:p w14:paraId="4392091D" w14:textId="77777777" w:rsidR="00F561E5" w:rsidRPr="0080642F" w:rsidRDefault="00F561E5" w:rsidP="00D00375">
            <w:pPr>
              <w:pStyle w:val="TableHeading"/>
            </w:pPr>
            <w:r w:rsidRPr="0080642F">
              <w:t>Outcome area</w:t>
            </w:r>
          </w:p>
        </w:tc>
        <w:tc>
          <w:tcPr>
            <w:tcW w:w="4252" w:type="dxa"/>
          </w:tcPr>
          <w:p w14:paraId="54746E02" w14:textId="77777777" w:rsidR="00F561E5" w:rsidRPr="00743AAB" w:rsidRDefault="00457ECD" w:rsidP="00D00375">
            <w:pPr>
              <w:pStyle w:val="TableHeading"/>
            </w:pPr>
            <w:r>
              <w:t xml:space="preserve">Cost Avoidance </w:t>
            </w:r>
          </w:p>
        </w:tc>
      </w:tr>
      <w:tr w:rsidR="00F561E5" w:rsidRPr="00743AAB" w14:paraId="4EE83AF3" w14:textId="77777777" w:rsidTr="00D00375">
        <w:trPr>
          <w:cnfStyle w:val="000000100000" w:firstRow="0" w:lastRow="0" w:firstColumn="0" w:lastColumn="0" w:oddVBand="0" w:evenVBand="0" w:oddHBand="1" w:evenHBand="0" w:firstRowFirstColumn="0" w:firstRowLastColumn="0" w:lastRowFirstColumn="0" w:lastRowLastColumn="0"/>
        </w:trPr>
        <w:tc>
          <w:tcPr>
            <w:tcW w:w="5382" w:type="dxa"/>
          </w:tcPr>
          <w:p w14:paraId="39A672EB" w14:textId="77777777" w:rsidR="00F561E5" w:rsidRPr="0080642F" w:rsidRDefault="00F561E5" w:rsidP="00D00375">
            <w:pPr>
              <w:pStyle w:val="TableParagraph"/>
            </w:pPr>
            <w:r w:rsidRPr="0080642F">
              <w:t xml:space="preserve">GP hours </w:t>
            </w:r>
          </w:p>
        </w:tc>
        <w:tc>
          <w:tcPr>
            <w:tcW w:w="4252" w:type="dxa"/>
          </w:tcPr>
          <w:p w14:paraId="41936721" w14:textId="77777777" w:rsidR="00F561E5" w:rsidRPr="00D97C38" w:rsidRDefault="00F561E5" w:rsidP="00D00375">
            <w:pPr>
              <w:pStyle w:val="TableParagraph"/>
              <w:jc w:val="right"/>
            </w:pPr>
            <w:r w:rsidRPr="0054736B">
              <w:t>-£332,241</w:t>
            </w:r>
          </w:p>
        </w:tc>
      </w:tr>
      <w:tr w:rsidR="00F561E5" w:rsidRPr="00743AAB" w14:paraId="21AD28E5" w14:textId="77777777" w:rsidTr="00D00375">
        <w:trPr>
          <w:cnfStyle w:val="000000010000" w:firstRow="0" w:lastRow="0" w:firstColumn="0" w:lastColumn="0" w:oddVBand="0" w:evenVBand="0" w:oddHBand="0" w:evenHBand="1" w:firstRowFirstColumn="0" w:firstRowLastColumn="0" w:lastRowFirstColumn="0" w:lastRowLastColumn="0"/>
        </w:trPr>
        <w:tc>
          <w:tcPr>
            <w:tcW w:w="5382" w:type="dxa"/>
          </w:tcPr>
          <w:p w14:paraId="3E2A4D93" w14:textId="77777777" w:rsidR="00F561E5" w:rsidRPr="0080642F" w:rsidRDefault="00F561E5" w:rsidP="00D00375">
            <w:pPr>
              <w:pStyle w:val="TableParagraph"/>
            </w:pPr>
            <w:r w:rsidRPr="0080642F">
              <w:t>Receiving Prescriptions</w:t>
            </w:r>
          </w:p>
        </w:tc>
        <w:tc>
          <w:tcPr>
            <w:tcW w:w="4252" w:type="dxa"/>
          </w:tcPr>
          <w:p w14:paraId="77EEDD4F" w14:textId="77777777" w:rsidR="00F561E5" w:rsidRPr="00D97C38" w:rsidRDefault="00F561E5" w:rsidP="00D00375">
            <w:pPr>
              <w:pStyle w:val="TableParagraph"/>
              <w:jc w:val="right"/>
            </w:pPr>
            <w:r w:rsidRPr="0054736B">
              <w:t>-£115,971</w:t>
            </w:r>
          </w:p>
        </w:tc>
      </w:tr>
      <w:tr w:rsidR="00F561E5" w:rsidRPr="00743AAB" w14:paraId="58EC5555" w14:textId="77777777" w:rsidTr="00D00375">
        <w:trPr>
          <w:cnfStyle w:val="000000100000" w:firstRow="0" w:lastRow="0" w:firstColumn="0" w:lastColumn="0" w:oddVBand="0" w:evenVBand="0" w:oddHBand="1" w:evenHBand="0" w:firstRowFirstColumn="0" w:firstRowLastColumn="0" w:lastRowFirstColumn="0" w:lastRowLastColumn="0"/>
        </w:trPr>
        <w:tc>
          <w:tcPr>
            <w:tcW w:w="5382" w:type="dxa"/>
          </w:tcPr>
          <w:p w14:paraId="0B06A326" w14:textId="77777777" w:rsidR="00F561E5" w:rsidRPr="0080642F" w:rsidRDefault="00F561E5" w:rsidP="00D00375">
            <w:pPr>
              <w:pStyle w:val="TableParagraph"/>
            </w:pPr>
            <w:r w:rsidRPr="0080642F">
              <w:t>Counselling services</w:t>
            </w:r>
          </w:p>
        </w:tc>
        <w:tc>
          <w:tcPr>
            <w:tcW w:w="4252" w:type="dxa"/>
          </w:tcPr>
          <w:p w14:paraId="18ADA6FF" w14:textId="77777777" w:rsidR="00F561E5" w:rsidRPr="00D97C38" w:rsidRDefault="00F561E5" w:rsidP="00D00375">
            <w:pPr>
              <w:pStyle w:val="TableParagraph"/>
              <w:jc w:val="right"/>
            </w:pPr>
            <w:r w:rsidRPr="0054736B">
              <w:t>-£33,397</w:t>
            </w:r>
          </w:p>
        </w:tc>
      </w:tr>
      <w:tr w:rsidR="00F561E5" w:rsidRPr="00743AAB" w14:paraId="40CA2B52" w14:textId="77777777" w:rsidTr="00D00375">
        <w:trPr>
          <w:cnfStyle w:val="000000010000" w:firstRow="0" w:lastRow="0" w:firstColumn="0" w:lastColumn="0" w:oddVBand="0" w:evenVBand="0" w:oddHBand="0" w:evenHBand="1" w:firstRowFirstColumn="0" w:firstRowLastColumn="0" w:lastRowFirstColumn="0" w:lastRowLastColumn="0"/>
        </w:trPr>
        <w:tc>
          <w:tcPr>
            <w:tcW w:w="5382" w:type="dxa"/>
          </w:tcPr>
          <w:p w14:paraId="7D928FC4" w14:textId="77777777" w:rsidR="00F561E5" w:rsidRPr="0080642F" w:rsidRDefault="00F561E5" w:rsidP="00D00375">
            <w:pPr>
              <w:pStyle w:val="TableParagraph"/>
            </w:pPr>
            <w:r w:rsidRPr="0080642F">
              <w:t>Contact with Mental Health support in the community</w:t>
            </w:r>
          </w:p>
        </w:tc>
        <w:tc>
          <w:tcPr>
            <w:tcW w:w="4252" w:type="dxa"/>
          </w:tcPr>
          <w:p w14:paraId="7AA25600" w14:textId="77777777" w:rsidR="00F561E5" w:rsidRPr="00D97C38" w:rsidRDefault="00F561E5" w:rsidP="00D00375">
            <w:pPr>
              <w:pStyle w:val="TableParagraph"/>
              <w:jc w:val="right"/>
            </w:pPr>
            <w:r w:rsidRPr="0054736B">
              <w:t>£224,660</w:t>
            </w:r>
          </w:p>
        </w:tc>
      </w:tr>
      <w:tr w:rsidR="00F561E5" w:rsidRPr="00743AAB" w14:paraId="7EBC8968" w14:textId="77777777" w:rsidTr="00D00375">
        <w:trPr>
          <w:cnfStyle w:val="000000100000" w:firstRow="0" w:lastRow="0" w:firstColumn="0" w:lastColumn="0" w:oddVBand="0" w:evenVBand="0" w:oddHBand="1" w:evenHBand="0" w:firstRowFirstColumn="0" w:firstRowLastColumn="0" w:lastRowFirstColumn="0" w:lastRowLastColumn="0"/>
        </w:trPr>
        <w:tc>
          <w:tcPr>
            <w:tcW w:w="5382" w:type="dxa"/>
          </w:tcPr>
          <w:p w14:paraId="26ECC33B" w14:textId="77777777" w:rsidR="00F561E5" w:rsidRPr="00B02411" w:rsidRDefault="00F561E5" w:rsidP="00B02411">
            <w:pPr>
              <w:pStyle w:val="TableParagraph"/>
              <w:rPr>
                <w:b/>
              </w:rPr>
            </w:pPr>
            <w:r w:rsidRPr="00B02411">
              <w:rPr>
                <w:b/>
              </w:rPr>
              <w:t>T</w:t>
            </w:r>
            <w:r w:rsidR="00B02411" w:rsidRPr="00B02411">
              <w:rPr>
                <w:b/>
              </w:rPr>
              <w:t>otal</w:t>
            </w:r>
          </w:p>
        </w:tc>
        <w:tc>
          <w:tcPr>
            <w:tcW w:w="4252" w:type="dxa"/>
          </w:tcPr>
          <w:p w14:paraId="640A6B20" w14:textId="77777777" w:rsidR="00F561E5" w:rsidRPr="00B02411" w:rsidRDefault="00F561E5" w:rsidP="00D00375">
            <w:pPr>
              <w:pStyle w:val="TableParagraph"/>
              <w:jc w:val="right"/>
              <w:rPr>
                <w:b/>
              </w:rPr>
            </w:pPr>
            <w:r w:rsidRPr="00B02411">
              <w:rPr>
                <w:b/>
              </w:rPr>
              <w:t>-£256,9</w:t>
            </w:r>
            <w:r w:rsidR="00A63824">
              <w:rPr>
                <w:b/>
              </w:rPr>
              <w:t>49</w:t>
            </w:r>
          </w:p>
        </w:tc>
      </w:tr>
    </w:tbl>
    <w:p w14:paraId="21F0525E" w14:textId="77777777" w:rsidR="00F561E5" w:rsidRDefault="00F561E5" w:rsidP="00AE785D">
      <w:pPr>
        <w:pStyle w:val="BodyText-parastyle"/>
      </w:pPr>
    </w:p>
    <w:p w14:paraId="73305A72" w14:textId="77777777" w:rsidR="00DB459B" w:rsidRDefault="00DB459B" w:rsidP="00AE785D">
      <w:pPr>
        <w:pStyle w:val="BodyText-parastyle"/>
      </w:pPr>
    </w:p>
    <w:p w14:paraId="210AAE71" w14:textId="77777777" w:rsidR="00DB459B" w:rsidRDefault="00DB459B" w:rsidP="00AE785D">
      <w:pPr>
        <w:pStyle w:val="BodyText-parastyle"/>
      </w:pPr>
    </w:p>
    <w:p w14:paraId="31D2F59A" w14:textId="77777777" w:rsidR="00DB459B" w:rsidRDefault="00DB459B" w:rsidP="00AE785D">
      <w:pPr>
        <w:pStyle w:val="BodyText-parastyle"/>
      </w:pPr>
    </w:p>
    <w:p w14:paraId="0524D28A" w14:textId="77777777" w:rsidR="00DB459B" w:rsidRDefault="00DB459B" w:rsidP="00AE785D">
      <w:pPr>
        <w:pStyle w:val="BodyText-parastyle"/>
      </w:pPr>
    </w:p>
    <w:p w14:paraId="1B94B618" w14:textId="77777777" w:rsidR="00B02411" w:rsidRDefault="00B02411"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12</w:t>
      </w:r>
      <w:r w:rsidR="00603E87">
        <w:fldChar w:fldCharType="end"/>
      </w:r>
      <w:r>
        <w:t xml:space="preserve">: Primary Care - </w:t>
      </w:r>
      <w:r w:rsidRPr="00176501">
        <w:t>Total Cost Avoidance (</w:t>
      </w:r>
      <w:r>
        <w:t>Gross</w:t>
      </w:r>
      <w:r w:rsidRPr="00176501">
        <w:t xml:space="preserve">) </w:t>
      </w:r>
      <w:r>
        <w:t>(over a 3 month period (based on 136 survey respondents and scaled up for 2923 people supported))</w:t>
      </w:r>
    </w:p>
    <w:tbl>
      <w:tblPr>
        <w:tblStyle w:val="ForfasTableGrid1"/>
        <w:tblW w:w="9634" w:type="dxa"/>
        <w:tblLook w:val="04A0" w:firstRow="1" w:lastRow="0" w:firstColumn="1" w:lastColumn="0" w:noHBand="0" w:noVBand="1"/>
      </w:tblPr>
      <w:tblGrid>
        <w:gridCol w:w="5382"/>
        <w:gridCol w:w="4252"/>
      </w:tblGrid>
      <w:tr w:rsidR="00B02411" w:rsidRPr="00743AAB" w14:paraId="0D693B00" w14:textId="77777777" w:rsidTr="00404AF1">
        <w:trPr>
          <w:cnfStyle w:val="100000000000" w:firstRow="1" w:lastRow="0" w:firstColumn="0" w:lastColumn="0" w:oddVBand="0" w:evenVBand="0" w:oddHBand="0" w:evenHBand="0" w:firstRowFirstColumn="0" w:firstRowLastColumn="0" w:lastRowFirstColumn="0" w:lastRowLastColumn="0"/>
        </w:trPr>
        <w:tc>
          <w:tcPr>
            <w:tcW w:w="5382" w:type="dxa"/>
          </w:tcPr>
          <w:p w14:paraId="331A774F" w14:textId="77777777" w:rsidR="00B02411" w:rsidRPr="0080642F" w:rsidRDefault="00B02411" w:rsidP="00404AF1">
            <w:pPr>
              <w:pStyle w:val="TableHeading"/>
            </w:pPr>
            <w:r w:rsidRPr="0080642F">
              <w:t>Outcome area</w:t>
            </w:r>
          </w:p>
        </w:tc>
        <w:tc>
          <w:tcPr>
            <w:tcW w:w="4252" w:type="dxa"/>
          </w:tcPr>
          <w:p w14:paraId="195FDB35" w14:textId="77777777" w:rsidR="00B02411" w:rsidRPr="00743AAB" w:rsidRDefault="00457ECD" w:rsidP="00404AF1">
            <w:pPr>
              <w:pStyle w:val="TableHeading"/>
            </w:pPr>
            <w:r>
              <w:t>Cost Avoidance</w:t>
            </w:r>
          </w:p>
        </w:tc>
      </w:tr>
      <w:tr w:rsidR="00B02411" w:rsidRPr="00743AAB" w14:paraId="70B0B9EB"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19093210" w14:textId="77777777" w:rsidR="00B02411" w:rsidRPr="0080642F" w:rsidRDefault="00B02411" w:rsidP="00404AF1">
            <w:pPr>
              <w:pStyle w:val="TableParagraph"/>
            </w:pPr>
            <w:r w:rsidRPr="0080642F">
              <w:t xml:space="preserve">GP hours </w:t>
            </w:r>
          </w:p>
        </w:tc>
        <w:tc>
          <w:tcPr>
            <w:tcW w:w="4252" w:type="dxa"/>
          </w:tcPr>
          <w:p w14:paraId="10D25918" w14:textId="77777777" w:rsidR="00B02411" w:rsidRPr="00D97C38" w:rsidRDefault="00B02411" w:rsidP="00404AF1">
            <w:pPr>
              <w:pStyle w:val="TableParagraph"/>
              <w:jc w:val="right"/>
            </w:pPr>
            <w:r w:rsidRPr="00250E05">
              <w:t>-£407,162</w:t>
            </w:r>
          </w:p>
        </w:tc>
      </w:tr>
      <w:tr w:rsidR="00B02411" w:rsidRPr="00743AAB" w14:paraId="7C24D47C"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46D96229" w14:textId="77777777" w:rsidR="00B02411" w:rsidRPr="0080642F" w:rsidRDefault="00B02411" w:rsidP="00404AF1">
            <w:pPr>
              <w:pStyle w:val="TableParagraph"/>
            </w:pPr>
            <w:r w:rsidRPr="0080642F">
              <w:t>Receiving Prescriptions</w:t>
            </w:r>
          </w:p>
        </w:tc>
        <w:tc>
          <w:tcPr>
            <w:tcW w:w="4252" w:type="dxa"/>
          </w:tcPr>
          <w:p w14:paraId="1C97870E" w14:textId="77777777" w:rsidR="00B02411" w:rsidRPr="00D97C38" w:rsidRDefault="00B02411" w:rsidP="00404AF1">
            <w:pPr>
              <w:pStyle w:val="TableParagraph"/>
              <w:jc w:val="right"/>
            </w:pPr>
            <w:r w:rsidRPr="00250E05">
              <w:t>-£187,532</w:t>
            </w:r>
          </w:p>
        </w:tc>
      </w:tr>
      <w:tr w:rsidR="00B02411" w:rsidRPr="00743AAB" w14:paraId="6FC7F8F8"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2BF8A64A" w14:textId="77777777" w:rsidR="00B02411" w:rsidRPr="0080642F" w:rsidRDefault="00B02411" w:rsidP="00404AF1">
            <w:pPr>
              <w:pStyle w:val="TableParagraph"/>
            </w:pPr>
            <w:r w:rsidRPr="0080642F">
              <w:t>Counselling services</w:t>
            </w:r>
          </w:p>
        </w:tc>
        <w:tc>
          <w:tcPr>
            <w:tcW w:w="4252" w:type="dxa"/>
          </w:tcPr>
          <w:p w14:paraId="7D10277E" w14:textId="77777777" w:rsidR="00B02411" w:rsidRPr="00D97C38" w:rsidRDefault="00B02411" w:rsidP="00404AF1">
            <w:pPr>
              <w:pStyle w:val="TableParagraph"/>
              <w:jc w:val="right"/>
            </w:pPr>
            <w:r w:rsidRPr="00250E05">
              <w:t>-£83,907</w:t>
            </w:r>
          </w:p>
        </w:tc>
      </w:tr>
      <w:tr w:rsidR="00B02411" w:rsidRPr="00743AAB" w14:paraId="48B20637"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65A72705" w14:textId="77777777" w:rsidR="00B02411" w:rsidRPr="0080642F" w:rsidRDefault="00B02411" w:rsidP="00404AF1">
            <w:pPr>
              <w:pStyle w:val="TableParagraph"/>
            </w:pPr>
            <w:r w:rsidRPr="0080642F">
              <w:t>Contact with Mental Health support in the community</w:t>
            </w:r>
          </w:p>
        </w:tc>
        <w:tc>
          <w:tcPr>
            <w:tcW w:w="4252" w:type="dxa"/>
          </w:tcPr>
          <w:p w14:paraId="5890DE6E" w14:textId="77777777" w:rsidR="00B02411" w:rsidRPr="00D97C38" w:rsidRDefault="00B02411" w:rsidP="00404AF1">
            <w:pPr>
              <w:pStyle w:val="TableParagraph"/>
              <w:jc w:val="right"/>
            </w:pPr>
            <w:r w:rsidRPr="00250E05">
              <w:t>-£68,866</w:t>
            </w:r>
          </w:p>
        </w:tc>
      </w:tr>
      <w:tr w:rsidR="00B02411" w:rsidRPr="00743AAB" w14:paraId="3EC5DACA"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70A5472A" w14:textId="77777777" w:rsidR="00B02411" w:rsidRPr="00B02411" w:rsidRDefault="00B02411" w:rsidP="00B02411">
            <w:pPr>
              <w:pStyle w:val="TableParagraph"/>
              <w:rPr>
                <w:b/>
              </w:rPr>
            </w:pPr>
            <w:r w:rsidRPr="00B02411">
              <w:rPr>
                <w:b/>
              </w:rPr>
              <w:t>Total</w:t>
            </w:r>
          </w:p>
        </w:tc>
        <w:tc>
          <w:tcPr>
            <w:tcW w:w="4252" w:type="dxa"/>
          </w:tcPr>
          <w:p w14:paraId="0FA818A3" w14:textId="77777777" w:rsidR="00B02411" w:rsidRPr="00B02411" w:rsidRDefault="00B02411" w:rsidP="00BF192A">
            <w:pPr>
              <w:pStyle w:val="TableParagraph"/>
              <w:jc w:val="right"/>
              <w:rPr>
                <w:b/>
              </w:rPr>
            </w:pPr>
            <w:r w:rsidRPr="00B02411">
              <w:rPr>
                <w:b/>
              </w:rPr>
              <w:t>-£747,</w:t>
            </w:r>
            <w:r w:rsidR="00A63824">
              <w:rPr>
                <w:b/>
              </w:rPr>
              <w:t>467</w:t>
            </w:r>
          </w:p>
        </w:tc>
      </w:tr>
    </w:tbl>
    <w:p w14:paraId="47674C5A" w14:textId="77777777" w:rsidR="00B02411" w:rsidRDefault="00B02411" w:rsidP="00AE785D">
      <w:pPr>
        <w:pStyle w:val="BodyText-parastyle"/>
      </w:pPr>
    </w:p>
    <w:p w14:paraId="60E8F1C9" w14:textId="77777777" w:rsidR="00B02411" w:rsidRDefault="00B02411" w:rsidP="00AE785D">
      <w:pPr>
        <w:pStyle w:val="BodyText-parastyle"/>
      </w:pPr>
      <w:r>
        <w:t xml:space="preserve">The tables above show that the potential minimum cost avoidance for primary care usage for all of those supported by the Social Prescribing projects is </w:t>
      </w:r>
      <w:r w:rsidRPr="00B02411">
        <w:t>£256,9</w:t>
      </w:r>
      <w:r w:rsidR="0072425E">
        <w:t>49</w:t>
      </w:r>
      <w:r>
        <w:t xml:space="preserve"> and the maximum is </w:t>
      </w:r>
      <w:r w:rsidR="0072425E">
        <w:t>£747,467</w:t>
      </w:r>
      <w:r>
        <w:t>.</w:t>
      </w:r>
    </w:p>
    <w:p w14:paraId="639084BC" w14:textId="77777777" w:rsidR="00B02411" w:rsidRDefault="00B02411" w:rsidP="00D465F1">
      <w:pPr>
        <w:pStyle w:val="Heading3"/>
      </w:pPr>
      <w:r>
        <w:t>Secondary Care – Estimated / Scaled Up Cost Avoidance Values</w:t>
      </w:r>
    </w:p>
    <w:p w14:paraId="3A40FC89" w14:textId="7C7081EF" w:rsidR="006A6086" w:rsidRDefault="00457ECD" w:rsidP="00AE785D">
      <w:pPr>
        <w:pStyle w:val="BodyText-parastyle"/>
      </w:pPr>
      <w:r>
        <w:t xml:space="preserve">An overview of the cost avoidance values for secondary care as a result of the Social Prescribing projects is outlined in tables </w:t>
      </w:r>
      <w:r w:rsidR="004B7FF5">
        <w:t>8</w:t>
      </w:r>
      <w:r w:rsidR="00EE788C">
        <w:t>.13</w:t>
      </w:r>
      <w:r>
        <w:t xml:space="preserve"> and </w:t>
      </w:r>
      <w:r w:rsidR="004B7FF5">
        <w:t>8</w:t>
      </w:r>
      <w:r w:rsidR="00EE788C">
        <w:t>.14</w:t>
      </w:r>
      <w:r>
        <w:t>. The cost avoidance values are based on self-reported service use by 136 survey respondents that have been scaled up</w:t>
      </w:r>
      <w:r w:rsidR="006A6086">
        <w:t xml:space="preserve"> to reflect the entire project.</w:t>
      </w:r>
    </w:p>
    <w:p w14:paraId="6A24DE3F" w14:textId="77777777" w:rsidR="00457ECD" w:rsidRDefault="00457ECD"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13</w:t>
      </w:r>
      <w:r w:rsidR="00603E87">
        <w:fldChar w:fldCharType="end"/>
      </w:r>
      <w:r>
        <w:t xml:space="preserve">: Secondary Care - </w:t>
      </w:r>
      <w:r w:rsidRPr="00176501">
        <w:t>Total Cost Avoidance (</w:t>
      </w:r>
      <w:r>
        <w:t>Net</w:t>
      </w:r>
      <w:r w:rsidRPr="00176501">
        <w:t xml:space="preserve">) </w:t>
      </w:r>
      <w:r>
        <w:t>(over a 3 month period (based on 136 survey respondents and scaled up for 2923 people supported))</w:t>
      </w:r>
    </w:p>
    <w:tbl>
      <w:tblPr>
        <w:tblStyle w:val="ForfasTableGrid1"/>
        <w:tblW w:w="9634" w:type="dxa"/>
        <w:tblLook w:val="04A0" w:firstRow="1" w:lastRow="0" w:firstColumn="1" w:lastColumn="0" w:noHBand="0" w:noVBand="1"/>
      </w:tblPr>
      <w:tblGrid>
        <w:gridCol w:w="5382"/>
        <w:gridCol w:w="4252"/>
      </w:tblGrid>
      <w:tr w:rsidR="00457ECD" w:rsidRPr="00743AAB" w14:paraId="45FF8614" w14:textId="77777777" w:rsidTr="00404AF1">
        <w:trPr>
          <w:cnfStyle w:val="100000000000" w:firstRow="1" w:lastRow="0" w:firstColumn="0" w:lastColumn="0" w:oddVBand="0" w:evenVBand="0" w:oddHBand="0" w:evenHBand="0" w:firstRowFirstColumn="0" w:firstRowLastColumn="0" w:lastRowFirstColumn="0" w:lastRowLastColumn="0"/>
        </w:trPr>
        <w:tc>
          <w:tcPr>
            <w:tcW w:w="5382" w:type="dxa"/>
          </w:tcPr>
          <w:p w14:paraId="236F05DC" w14:textId="77777777" w:rsidR="00457ECD" w:rsidRPr="0080642F" w:rsidRDefault="00457ECD" w:rsidP="00404AF1">
            <w:pPr>
              <w:pStyle w:val="TableHeading"/>
            </w:pPr>
            <w:r w:rsidRPr="0080642F">
              <w:t>Outcome area</w:t>
            </w:r>
          </w:p>
        </w:tc>
        <w:tc>
          <w:tcPr>
            <w:tcW w:w="4252" w:type="dxa"/>
          </w:tcPr>
          <w:p w14:paraId="75407CC5" w14:textId="77777777" w:rsidR="00457ECD" w:rsidRPr="00743AAB" w:rsidRDefault="00457ECD" w:rsidP="00404AF1">
            <w:pPr>
              <w:pStyle w:val="TableHeading"/>
            </w:pPr>
            <w:r>
              <w:t>Cost Avoidance</w:t>
            </w:r>
          </w:p>
        </w:tc>
      </w:tr>
      <w:tr w:rsidR="00457ECD" w:rsidRPr="00743AAB" w14:paraId="2B3186DC"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76C7987C" w14:textId="77777777" w:rsidR="00457ECD" w:rsidRPr="00D607C2" w:rsidRDefault="00457ECD" w:rsidP="00404AF1">
            <w:r w:rsidRPr="00D607C2">
              <w:t>Attendance at A+E</w:t>
            </w:r>
          </w:p>
        </w:tc>
        <w:tc>
          <w:tcPr>
            <w:tcW w:w="4252" w:type="dxa"/>
          </w:tcPr>
          <w:p w14:paraId="6231CA7A" w14:textId="77777777" w:rsidR="00457ECD" w:rsidRPr="002E0EB2" w:rsidRDefault="00457ECD" w:rsidP="00404AF1">
            <w:pPr>
              <w:jc w:val="right"/>
            </w:pPr>
            <w:r w:rsidRPr="00544A25">
              <w:t>-£17,722</w:t>
            </w:r>
          </w:p>
        </w:tc>
      </w:tr>
      <w:tr w:rsidR="00457ECD" w:rsidRPr="00743AAB" w14:paraId="2DEB1FB4"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260F65EA" w14:textId="77777777" w:rsidR="00457ECD" w:rsidRPr="00D607C2" w:rsidRDefault="00457ECD" w:rsidP="00404AF1">
            <w:r w:rsidRPr="00D607C2">
              <w:t>Outpatient appointments attended</w:t>
            </w:r>
          </w:p>
        </w:tc>
        <w:tc>
          <w:tcPr>
            <w:tcW w:w="4252" w:type="dxa"/>
          </w:tcPr>
          <w:p w14:paraId="37C57A21" w14:textId="77777777" w:rsidR="00457ECD" w:rsidRPr="002E0EB2" w:rsidRDefault="00457ECD" w:rsidP="00404AF1">
            <w:pPr>
              <w:jc w:val="right"/>
            </w:pPr>
            <w:r w:rsidRPr="00544A25">
              <w:t>-£251,742</w:t>
            </w:r>
          </w:p>
        </w:tc>
      </w:tr>
      <w:tr w:rsidR="00457ECD" w:rsidRPr="00743AAB" w14:paraId="434245CF"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302BFC75" w14:textId="77777777" w:rsidR="00457ECD" w:rsidRPr="00D607C2" w:rsidRDefault="00457ECD" w:rsidP="00404AF1">
            <w:r w:rsidRPr="00D607C2">
              <w:t xml:space="preserve">Admittance to hospital – planned procedure </w:t>
            </w:r>
          </w:p>
        </w:tc>
        <w:tc>
          <w:tcPr>
            <w:tcW w:w="4252" w:type="dxa"/>
          </w:tcPr>
          <w:p w14:paraId="2280D398" w14:textId="77777777" w:rsidR="00457ECD" w:rsidRPr="002E0EB2" w:rsidRDefault="00457ECD" w:rsidP="00404AF1">
            <w:pPr>
              <w:jc w:val="right"/>
            </w:pPr>
            <w:r w:rsidRPr="00544A25">
              <w:t>-£198,838</w:t>
            </w:r>
          </w:p>
        </w:tc>
      </w:tr>
      <w:tr w:rsidR="00457ECD" w:rsidRPr="00743AAB" w14:paraId="242FF5D0"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607CFD00" w14:textId="77777777" w:rsidR="00457ECD" w:rsidRDefault="00457ECD" w:rsidP="00404AF1">
            <w:r w:rsidRPr="00D607C2">
              <w:t>Admittance to hospital – emergency</w:t>
            </w:r>
          </w:p>
        </w:tc>
        <w:tc>
          <w:tcPr>
            <w:tcW w:w="4252" w:type="dxa"/>
          </w:tcPr>
          <w:p w14:paraId="3602CAEF" w14:textId="77777777" w:rsidR="00457ECD" w:rsidRPr="002E0EB2" w:rsidRDefault="00457ECD" w:rsidP="00404AF1">
            <w:pPr>
              <w:jc w:val="right"/>
            </w:pPr>
            <w:r w:rsidRPr="00544A25">
              <w:t>-£622,970</w:t>
            </w:r>
          </w:p>
        </w:tc>
      </w:tr>
      <w:tr w:rsidR="00457ECD" w:rsidRPr="00743AAB" w14:paraId="0F34BD14"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5EF5EEDF" w14:textId="77777777" w:rsidR="00457ECD" w:rsidRPr="00457ECD" w:rsidRDefault="00457ECD" w:rsidP="00457ECD">
            <w:pPr>
              <w:pStyle w:val="TableParagraph"/>
              <w:rPr>
                <w:b/>
              </w:rPr>
            </w:pPr>
            <w:r w:rsidRPr="00457ECD">
              <w:rPr>
                <w:b/>
              </w:rPr>
              <w:t>Total</w:t>
            </w:r>
          </w:p>
        </w:tc>
        <w:tc>
          <w:tcPr>
            <w:tcW w:w="4252" w:type="dxa"/>
          </w:tcPr>
          <w:p w14:paraId="1BD9D7B3" w14:textId="77777777" w:rsidR="00457ECD" w:rsidRPr="00457ECD" w:rsidRDefault="00457ECD" w:rsidP="00404AF1">
            <w:pPr>
              <w:jc w:val="right"/>
              <w:rPr>
                <w:b/>
              </w:rPr>
            </w:pPr>
            <w:r w:rsidRPr="00457ECD">
              <w:rPr>
                <w:b/>
              </w:rPr>
              <w:t>-£1,091,272</w:t>
            </w:r>
          </w:p>
        </w:tc>
      </w:tr>
    </w:tbl>
    <w:p w14:paraId="754673F1" w14:textId="77777777" w:rsidR="00457ECD" w:rsidRDefault="00457ECD" w:rsidP="00AE785D">
      <w:pPr>
        <w:pStyle w:val="BodyText-parastyle"/>
      </w:pPr>
    </w:p>
    <w:p w14:paraId="70ADB772" w14:textId="77777777" w:rsidR="00DB459B" w:rsidRDefault="00DB459B" w:rsidP="00AE785D">
      <w:pPr>
        <w:pStyle w:val="BodyText-parastyle"/>
      </w:pPr>
    </w:p>
    <w:p w14:paraId="53637CE9" w14:textId="77777777" w:rsidR="00DB459B" w:rsidRDefault="00DB459B" w:rsidP="00AE785D">
      <w:pPr>
        <w:pStyle w:val="BodyText-parastyle"/>
      </w:pPr>
    </w:p>
    <w:p w14:paraId="2ADACFED" w14:textId="77777777" w:rsidR="00457ECD" w:rsidRDefault="00457ECD"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14</w:t>
      </w:r>
      <w:r w:rsidR="00603E87">
        <w:fldChar w:fldCharType="end"/>
      </w:r>
      <w:r>
        <w:t xml:space="preserve">: Secondary Care - </w:t>
      </w:r>
      <w:r w:rsidRPr="00176501">
        <w:t>Total Cost Avoidance (</w:t>
      </w:r>
      <w:r>
        <w:t>Gross</w:t>
      </w:r>
      <w:r w:rsidRPr="00176501">
        <w:t xml:space="preserve">) </w:t>
      </w:r>
      <w:r>
        <w:t>(over a 3 month period (based on 136 survey respondents and scaled up for 2923 people supported))</w:t>
      </w:r>
    </w:p>
    <w:tbl>
      <w:tblPr>
        <w:tblStyle w:val="ForfasTableGrid1"/>
        <w:tblW w:w="9634" w:type="dxa"/>
        <w:tblLook w:val="04A0" w:firstRow="1" w:lastRow="0" w:firstColumn="1" w:lastColumn="0" w:noHBand="0" w:noVBand="1"/>
      </w:tblPr>
      <w:tblGrid>
        <w:gridCol w:w="5382"/>
        <w:gridCol w:w="4252"/>
      </w:tblGrid>
      <w:tr w:rsidR="00457ECD" w:rsidRPr="00743AAB" w14:paraId="1FA4CCE5" w14:textId="77777777" w:rsidTr="00404AF1">
        <w:trPr>
          <w:cnfStyle w:val="100000000000" w:firstRow="1" w:lastRow="0" w:firstColumn="0" w:lastColumn="0" w:oddVBand="0" w:evenVBand="0" w:oddHBand="0" w:evenHBand="0" w:firstRowFirstColumn="0" w:firstRowLastColumn="0" w:lastRowFirstColumn="0" w:lastRowLastColumn="0"/>
        </w:trPr>
        <w:tc>
          <w:tcPr>
            <w:tcW w:w="5382" w:type="dxa"/>
          </w:tcPr>
          <w:p w14:paraId="276775D1" w14:textId="77777777" w:rsidR="00457ECD" w:rsidRPr="0080642F" w:rsidRDefault="00457ECD" w:rsidP="00404AF1">
            <w:pPr>
              <w:pStyle w:val="TableHeading"/>
            </w:pPr>
            <w:r w:rsidRPr="0080642F">
              <w:t>Outcome area</w:t>
            </w:r>
          </w:p>
        </w:tc>
        <w:tc>
          <w:tcPr>
            <w:tcW w:w="4252" w:type="dxa"/>
          </w:tcPr>
          <w:p w14:paraId="471F87AD" w14:textId="77777777" w:rsidR="00457ECD" w:rsidRPr="00743AAB" w:rsidRDefault="00457ECD" w:rsidP="00404AF1">
            <w:pPr>
              <w:pStyle w:val="TableHeading"/>
            </w:pPr>
            <w:r>
              <w:t>Cost Avoidance</w:t>
            </w:r>
          </w:p>
        </w:tc>
      </w:tr>
      <w:tr w:rsidR="00457ECD" w:rsidRPr="00743AAB" w14:paraId="7932C70F"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105526E4" w14:textId="77777777" w:rsidR="00457ECD" w:rsidRPr="00D607C2" w:rsidRDefault="00457ECD" w:rsidP="00404AF1">
            <w:r w:rsidRPr="00D607C2">
              <w:t>Attendance at A+E</w:t>
            </w:r>
          </w:p>
        </w:tc>
        <w:tc>
          <w:tcPr>
            <w:tcW w:w="4252" w:type="dxa"/>
          </w:tcPr>
          <w:p w14:paraId="2DC1A70F" w14:textId="77777777" w:rsidR="00457ECD" w:rsidRPr="002E0EB2" w:rsidRDefault="00457ECD" w:rsidP="00404AF1">
            <w:pPr>
              <w:jc w:val="right"/>
            </w:pPr>
            <w:r w:rsidRPr="00DF71D8">
              <w:t>-£46,915</w:t>
            </w:r>
          </w:p>
        </w:tc>
      </w:tr>
      <w:tr w:rsidR="00457ECD" w:rsidRPr="00743AAB" w14:paraId="188D586C"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2C0B77C5" w14:textId="77777777" w:rsidR="00457ECD" w:rsidRPr="00D607C2" w:rsidRDefault="00457ECD" w:rsidP="00404AF1">
            <w:r w:rsidRPr="00D607C2">
              <w:t>Outpatient appointments attended</w:t>
            </w:r>
          </w:p>
        </w:tc>
        <w:tc>
          <w:tcPr>
            <w:tcW w:w="4252" w:type="dxa"/>
          </w:tcPr>
          <w:p w14:paraId="4EFE9B01" w14:textId="77777777" w:rsidR="00457ECD" w:rsidRPr="002E0EB2" w:rsidRDefault="00457ECD" w:rsidP="00404AF1">
            <w:pPr>
              <w:jc w:val="right"/>
            </w:pPr>
            <w:r w:rsidRPr="00DF71D8">
              <w:t>-£352,714</w:t>
            </w:r>
          </w:p>
        </w:tc>
      </w:tr>
      <w:tr w:rsidR="00457ECD" w:rsidRPr="00743AAB" w14:paraId="0456F090"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0185DFA9" w14:textId="77777777" w:rsidR="00457ECD" w:rsidRPr="00D607C2" w:rsidRDefault="00457ECD" w:rsidP="00404AF1">
            <w:r w:rsidRPr="00D607C2">
              <w:t xml:space="preserve">Admittance to hospital – planned procedure </w:t>
            </w:r>
          </w:p>
        </w:tc>
        <w:tc>
          <w:tcPr>
            <w:tcW w:w="4252" w:type="dxa"/>
          </w:tcPr>
          <w:p w14:paraId="07E20142" w14:textId="77777777" w:rsidR="00457ECD" w:rsidRPr="002E0EB2" w:rsidRDefault="00457ECD" w:rsidP="00404AF1">
            <w:pPr>
              <w:jc w:val="right"/>
            </w:pPr>
            <w:r w:rsidRPr="00DF71D8">
              <w:t>-£536,343</w:t>
            </w:r>
          </w:p>
        </w:tc>
      </w:tr>
      <w:tr w:rsidR="00457ECD" w:rsidRPr="00743AAB" w14:paraId="3A2ED58A"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16576A0B" w14:textId="77777777" w:rsidR="00457ECD" w:rsidRDefault="00457ECD" w:rsidP="00404AF1">
            <w:r w:rsidRPr="00D607C2">
              <w:t>Admittance to hospital – emergency</w:t>
            </w:r>
          </w:p>
        </w:tc>
        <w:tc>
          <w:tcPr>
            <w:tcW w:w="4252" w:type="dxa"/>
          </w:tcPr>
          <w:p w14:paraId="328BD9C9" w14:textId="77777777" w:rsidR="00457ECD" w:rsidRPr="002E0EB2" w:rsidRDefault="00457ECD" w:rsidP="00404AF1">
            <w:pPr>
              <w:jc w:val="right"/>
            </w:pPr>
            <w:r w:rsidRPr="00DF71D8">
              <w:t>-£413,243</w:t>
            </w:r>
          </w:p>
        </w:tc>
      </w:tr>
      <w:tr w:rsidR="00457ECD" w:rsidRPr="00743AAB" w14:paraId="184EAD9E"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31C2E557" w14:textId="77777777" w:rsidR="00457ECD" w:rsidRPr="00457ECD" w:rsidRDefault="00457ECD" w:rsidP="00404AF1">
            <w:pPr>
              <w:pStyle w:val="TableParagraph"/>
              <w:rPr>
                <w:b/>
              </w:rPr>
            </w:pPr>
            <w:r w:rsidRPr="00457ECD">
              <w:rPr>
                <w:b/>
              </w:rPr>
              <w:t>Total</w:t>
            </w:r>
          </w:p>
        </w:tc>
        <w:tc>
          <w:tcPr>
            <w:tcW w:w="4252" w:type="dxa"/>
          </w:tcPr>
          <w:p w14:paraId="1CE50071" w14:textId="77777777" w:rsidR="00457ECD" w:rsidRPr="00457ECD" w:rsidRDefault="00457ECD" w:rsidP="00BF192A">
            <w:pPr>
              <w:jc w:val="right"/>
              <w:rPr>
                <w:b/>
              </w:rPr>
            </w:pPr>
            <w:r w:rsidRPr="00457ECD">
              <w:rPr>
                <w:b/>
              </w:rPr>
              <w:t>-£1,349,</w:t>
            </w:r>
            <w:r w:rsidR="00E61546">
              <w:rPr>
                <w:b/>
              </w:rPr>
              <w:t>215</w:t>
            </w:r>
          </w:p>
        </w:tc>
      </w:tr>
    </w:tbl>
    <w:p w14:paraId="1D675394" w14:textId="77777777" w:rsidR="00457ECD" w:rsidRDefault="00457ECD" w:rsidP="00AE785D">
      <w:pPr>
        <w:pStyle w:val="BodyText-parastyle"/>
      </w:pPr>
    </w:p>
    <w:p w14:paraId="1FFE0BB1" w14:textId="77777777" w:rsidR="00833444" w:rsidRDefault="00833444" w:rsidP="00AE785D">
      <w:pPr>
        <w:pStyle w:val="BodyText-parastyle"/>
      </w:pPr>
      <w:r>
        <w:t xml:space="preserve">The tables above show that the potential minimum cost avoidance for secondary care usage for all of those supported by the Social Prescribing projects is </w:t>
      </w:r>
      <w:r w:rsidRPr="00B02411">
        <w:t>£</w:t>
      </w:r>
      <w:r w:rsidRPr="00833444">
        <w:t>1,091,272</w:t>
      </w:r>
      <w:r>
        <w:t xml:space="preserve"> and the maximum is </w:t>
      </w:r>
      <w:r w:rsidRPr="00B02411">
        <w:t>£</w:t>
      </w:r>
      <w:r w:rsidR="0072425E">
        <w:t>1,349,215</w:t>
      </w:r>
      <w:r>
        <w:t>.</w:t>
      </w:r>
    </w:p>
    <w:p w14:paraId="70133E3E" w14:textId="77777777" w:rsidR="00833444" w:rsidRDefault="00833444" w:rsidP="00D465F1">
      <w:pPr>
        <w:pStyle w:val="Heading3"/>
      </w:pPr>
      <w:r>
        <w:t>Social Care – Estimated / Scaled Up Cost Avoidance Values</w:t>
      </w:r>
    </w:p>
    <w:p w14:paraId="1BB38E29" w14:textId="17ECBB13" w:rsidR="006A6086" w:rsidRDefault="00833444" w:rsidP="00AE785D">
      <w:pPr>
        <w:pStyle w:val="BodyText-parastyle"/>
      </w:pPr>
      <w:r>
        <w:t xml:space="preserve">An overview of the cost avoidance values for social care as a result of the Social Prescribing projects is outlined in tables </w:t>
      </w:r>
      <w:r w:rsidR="004B7FF5">
        <w:t>8</w:t>
      </w:r>
      <w:r w:rsidR="00EE788C">
        <w:t>.15</w:t>
      </w:r>
      <w:r>
        <w:t xml:space="preserve"> and </w:t>
      </w:r>
      <w:r w:rsidR="004B7FF5">
        <w:t>8</w:t>
      </w:r>
      <w:r w:rsidR="00EE788C">
        <w:t>.16</w:t>
      </w:r>
      <w:r>
        <w:t>. The cost avoidance values are based on self-reported service use by 136 survey respondents that have been scaled up</w:t>
      </w:r>
      <w:r w:rsidR="006A6086">
        <w:t xml:space="preserve"> to reflect the entire project.</w:t>
      </w:r>
    </w:p>
    <w:p w14:paraId="52618DFD" w14:textId="77777777" w:rsidR="00833444" w:rsidRDefault="00833444"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15</w:t>
      </w:r>
      <w:r w:rsidR="00603E87">
        <w:fldChar w:fldCharType="end"/>
      </w:r>
      <w:r>
        <w:t xml:space="preserve">: Social Care - </w:t>
      </w:r>
      <w:r w:rsidRPr="00176501">
        <w:t>Total Cost Avoidance (</w:t>
      </w:r>
      <w:r>
        <w:t>Net</w:t>
      </w:r>
      <w:r w:rsidRPr="00176501">
        <w:t xml:space="preserve">) </w:t>
      </w:r>
      <w:r>
        <w:t>(over a 3 month period (based on 136 survey respondents and scaled up for 2923 people supported))</w:t>
      </w:r>
    </w:p>
    <w:tbl>
      <w:tblPr>
        <w:tblStyle w:val="ForfasTableGrid1"/>
        <w:tblW w:w="9634" w:type="dxa"/>
        <w:tblLook w:val="04A0" w:firstRow="1" w:lastRow="0" w:firstColumn="1" w:lastColumn="0" w:noHBand="0" w:noVBand="1"/>
      </w:tblPr>
      <w:tblGrid>
        <w:gridCol w:w="5382"/>
        <w:gridCol w:w="4252"/>
      </w:tblGrid>
      <w:tr w:rsidR="00833444" w:rsidRPr="00743AAB" w14:paraId="6C67D105" w14:textId="77777777" w:rsidTr="00404AF1">
        <w:trPr>
          <w:cnfStyle w:val="100000000000" w:firstRow="1" w:lastRow="0" w:firstColumn="0" w:lastColumn="0" w:oddVBand="0" w:evenVBand="0" w:oddHBand="0" w:evenHBand="0" w:firstRowFirstColumn="0" w:firstRowLastColumn="0" w:lastRowFirstColumn="0" w:lastRowLastColumn="0"/>
        </w:trPr>
        <w:tc>
          <w:tcPr>
            <w:tcW w:w="5382" w:type="dxa"/>
          </w:tcPr>
          <w:p w14:paraId="03910D9D" w14:textId="77777777" w:rsidR="00833444" w:rsidRPr="0080642F" w:rsidRDefault="00833444" w:rsidP="00404AF1">
            <w:pPr>
              <w:pStyle w:val="TableHeading"/>
            </w:pPr>
            <w:r w:rsidRPr="0080642F">
              <w:t>Outcome area</w:t>
            </w:r>
          </w:p>
        </w:tc>
        <w:tc>
          <w:tcPr>
            <w:tcW w:w="4252" w:type="dxa"/>
          </w:tcPr>
          <w:p w14:paraId="6EC3E652" w14:textId="77777777" w:rsidR="00833444" w:rsidRPr="00743AAB" w:rsidRDefault="00833444" w:rsidP="00404AF1">
            <w:pPr>
              <w:pStyle w:val="TableHeading"/>
            </w:pPr>
            <w:r>
              <w:t>Cost Avoidance</w:t>
            </w:r>
          </w:p>
        </w:tc>
      </w:tr>
      <w:tr w:rsidR="00833444" w:rsidRPr="00743AAB" w14:paraId="2D23745B"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65CAA91F" w14:textId="77777777" w:rsidR="00833444" w:rsidRPr="000E0DF8" w:rsidRDefault="00833444" w:rsidP="00404AF1">
            <w:r w:rsidRPr="000E0DF8">
              <w:t>Hours of support received from a social worker</w:t>
            </w:r>
          </w:p>
        </w:tc>
        <w:tc>
          <w:tcPr>
            <w:tcW w:w="4252" w:type="dxa"/>
            <w:vAlign w:val="center"/>
          </w:tcPr>
          <w:p w14:paraId="2AC6F14A" w14:textId="77777777" w:rsidR="00833444" w:rsidRDefault="00833444" w:rsidP="00404AF1">
            <w:pPr>
              <w:jc w:val="right"/>
            </w:pPr>
            <w:r w:rsidRPr="00974BEE">
              <w:t>-£96,708</w:t>
            </w:r>
          </w:p>
        </w:tc>
      </w:tr>
      <w:tr w:rsidR="00833444" w:rsidRPr="00743AAB" w14:paraId="214F0EDF"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4433A40B" w14:textId="77777777" w:rsidR="00833444" w:rsidRPr="00833444" w:rsidRDefault="00833444" w:rsidP="00404AF1">
            <w:pPr>
              <w:pStyle w:val="TableParagraph"/>
              <w:rPr>
                <w:b/>
              </w:rPr>
            </w:pPr>
            <w:r w:rsidRPr="00833444">
              <w:rPr>
                <w:b/>
              </w:rPr>
              <w:t>Total</w:t>
            </w:r>
          </w:p>
        </w:tc>
        <w:tc>
          <w:tcPr>
            <w:tcW w:w="4252" w:type="dxa"/>
            <w:vAlign w:val="center"/>
          </w:tcPr>
          <w:p w14:paraId="0C2923CC" w14:textId="77777777" w:rsidR="00833444" w:rsidRPr="00833444" w:rsidRDefault="00833444" w:rsidP="00404AF1">
            <w:pPr>
              <w:jc w:val="right"/>
              <w:rPr>
                <w:b/>
              </w:rPr>
            </w:pPr>
            <w:r w:rsidRPr="00833444">
              <w:rPr>
                <w:b/>
              </w:rPr>
              <w:t>-£96,708</w:t>
            </w:r>
          </w:p>
        </w:tc>
      </w:tr>
    </w:tbl>
    <w:p w14:paraId="2ABBD116" w14:textId="77777777" w:rsidR="00DB459B" w:rsidRDefault="00DB459B" w:rsidP="00DB459B">
      <w:pPr>
        <w:pStyle w:val="BodyText-italics"/>
      </w:pPr>
    </w:p>
    <w:p w14:paraId="0250F5B0" w14:textId="77777777" w:rsidR="00DB459B" w:rsidRDefault="00DB459B" w:rsidP="00DB459B">
      <w:pPr>
        <w:pStyle w:val="BodyText-italics"/>
      </w:pPr>
    </w:p>
    <w:p w14:paraId="76EE195B" w14:textId="77777777" w:rsidR="00DB459B" w:rsidRDefault="00DB459B" w:rsidP="00DB459B">
      <w:pPr>
        <w:pStyle w:val="BodyText-italics"/>
      </w:pPr>
    </w:p>
    <w:p w14:paraId="274FAFA6" w14:textId="77777777" w:rsidR="00DB459B" w:rsidRDefault="00DB459B" w:rsidP="00DB459B">
      <w:pPr>
        <w:pStyle w:val="BodyText-italics"/>
      </w:pPr>
    </w:p>
    <w:p w14:paraId="371239F7" w14:textId="77777777" w:rsidR="00DB459B" w:rsidRDefault="00DB459B" w:rsidP="00DB459B">
      <w:pPr>
        <w:pStyle w:val="BodyText-italics"/>
      </w:pPr>
    </w:p>
    <w:p w14:paraId="70FA389B" w14:textId="77777777" w:rsidR="00833444" w:rsidRDefault="00833444"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16</w:t>
      </w:r>
      <w:r w:rsidR="00603E87">
        <w:fldChar w:fldCharType="end"/>
      </w:r>
      <w:r>
        <w:t xml:space="preserve">: Social Care - </w:t>
      </w:r>
      <w:r w:rsidRPr="00176501">
        <w:t>Total Cost Avoidance (</w:t>
      </w:r>
      <w:r>
        <w:t>Gross</w:t>
      </w:r>
      <w:r w:rsidRPr="00176501">
        <w:t xml:space="preserve">) </w:t>
      </w:r>
      <w:r>
        <w:t>(over a 3 month period (based on 136 survey respondents and scaled up for 2923 people supported))</w:t>
      </w:r>
    </w:p>
    <w:tbl>
      <w:tblPr>
        <w:tblStyle w:val="ForfasTableGrid1"/>
        <w:tblW w:w="9634" w:type="dxa"/>
        <w:tblLook w:val="04A0" w:firstRow="1" w:lastRow="0" w:firstColumn="1" w:lastColumn="0" w:noHBand="0" w:noVBand="1"/>
      </w:tblPr>
      <w:tblGrid>
        <w:gridCol w:w="5382"/>
        <w:gridCol w:w="4252"/>
      </w:tblGrid>
      <w:tr w:rsidR="00833444" w:rsidRPr="00743AAB" w14:paraId="58810510" w14:textId="77777777" w:rsidTr="00404AF1">
        <w:trPr>
          <w:cnfStyle w:val="100000000000" w:firstRow="1" w:lastRow="0" w:firstColumn="0" w:lastColumn="0" w:oddVBand="0" w:evenVBand="0" w:oddHBand="0" w:evenHBand="0" w:firstRowFirstColumn="0" w:firstRowLastColumn="0" w:lastRowFirstColumn="0" w:lastRowLastColumn="0"/>
        </w:trPr>
        <w:tc>
          <w:tcPr>
            <w:tcW w:w="5382" w:type="dxa"/>
          </w:tcPr>
          <w:p w14:paraId="4A5A89F8" w14:textId="77777777" w:rsidR="00833444" w:rsidRPr="0080642F" w:rsidRDefault="00833444" w:rsidP="00404AF1">
            <w:pPr>
              <w:pStyle w:val="TableHeading"/>
            </w:pPr>
            <w:r w:rsidRPr="0080642F">
              <w:t>Outcome area</w:t>
            </w:r>
          </w:p>
        </w:tc>
        <w:tc>
          <w:tcPr>
            <w:tcW w:w="4252" w:type="dxa"/>
          </w:tcPr>
          <w:p w14:paraId="0E6BCC15" w14:textId="77777777" w:rsidR="00833444" w:rsidRPr="00743AAB" w:rsidRDefault="00833444" w:rsidP="00404AF1">
            <w:pPr>
              <w:pStyle w:val="TableHeading"/>
            </w:pPr>
            <w:r>
              <w:t>Cost Avoidance</w:t>
            </w:r>
          </w:p>
        </w:tc>
      </w:tr>
      <w:tr w:rsidR="00833444" w:rsidRPr="00743AAB" w14:paraId="57EED851" w14:textId="77777777" w:rsidTr="00404AF1">
        <w:trPr>
          <w:cnfStyle w:val="000000100000" w:firstRow="0" w:lastRow="0" w:firstColumn="0" w:lastColumn="0" w:oddVBand="0" w:evenVBand="0" w:oddHBand="1" w:evenHBand="0" w:firstRowFirstColumn="0" w:firstRowLastColumn="0" w:lastRowFirstColumn="0" w:lastRowLastColumn="0"/>
        </w:trPr>
        <w:tc>
          <w:tcPr>
            <w:tcW w:w="5382" w:type="dxa"/>
          </w:tcPr>
          <w:p w14:paraId="68AC22EF" w14:textId="77777777" w:rsidR="00833444" w:rsidRPr="000E0DF8" w:rsidRDefault="00833444" w:rsidP="00404AF1">
            <w:r w:rsidRPr="000E0DF8">
              <w:t>Hours of support received from a social worker</w:t>
            </w:r>
          </w:p>
        </w:tc>
        <w:tc>
          <w:tcPr>
            <w:tcW w:w="4252" w:type="dxa"/>
            <w:vAlign w:val="center"/>
          </w:tcPr>
          <w:p w14:paraId="2EC508C9" w14:textId="77777777" w:rsidR="00833444" w:rsidRDefault="00833444" w:rsidP="00404AF1">
            <w:pPr>
              <w:jc w:val="right"/>
            </w:pPr>
            <w:r w:rsidRPr="00930553">
              <w:t>-£211,446</w:t>
            </w:r>
          </w:p>
        </w:tc>
      </w:tr>
      <w:tr w:rsidR="00833444" w:rsidRPr="00743AAB" w14:paraId="5ADBC8C8" w14:textId="77777777" w:rsidTr="00404AF1">
        <w:trPr>
          <w:cnfStyle w:val="000000010000" w:firstRow="0" w:lastRow="0" w:firstColumn="0" w:lastColumn="0" w:oddVBand="0" w:evenVBand="0" w:oddHBand="0" w:evenHBand="1" w:firstRowFirstColumn="0" w:firstRowLastColumn="0" w:lastRowFirstColumn="0" w:lastRowLastColumn="0"/>
        </w:trPr>
        <w:tc>
          <w:tcPr>
            <w:tcW w:w="5382" w:type="dxa"/>
          </w:tcPr>
          <w:p w14:paraId="00ED7857" w14:textId="77777777" w:rsidR="00833444" w:rsidRPr="00833444" w:rsidRDefault="00833444" w:rsidP="00404AF1">
            <w:pPr>
              <w:pStyle w:val="TableParagraph"/>
              <w:rPr>
                <w:b/>
              </w:rPr>
            </w:pPr>
            <w:r w:rsidRPr="00833444">
              <w:rPr>
                <w:b/>
              </w:rPr>
              <w:t>Total</w:t>
            </w:r>
          </w:p>
        </w:tc>
        <w:tc>
          <w:tcPr>
            <w:tcW w:w="4252" w:type="dxa"/>
            <w:vAlign w:val="center"/>
          </w:tcPr>
          <w:p w14:paraId="312E5E13" w14:textId="77777777" w:rsidR="00833444" w:rsidRPr="00833444" w:rsidRDefault="00833444" w:rsidP="00404AF1">
            <w:pPr>
              <w:jc w:val="right"/>
              <w:rPr>
                <w:b/>
              </w:rPr>
            </w:pPr>
            <w:r w:rsidRPr="00833444">
              <w:rPr>
                <w:b/>
              </w:rPr>
              <w:t>-£211,446</w:t>
            </w:r>
          </w:p>
        </w:tc>
      </w:tr>
    </w:tbl>
    <w:p w14:paraId="3CB289BE" w14:textId="77777777" w:rsidR="00833444" w:rsidRDefault="00833444" w:rsidP="00AE785D">
      <w:pPr>
        <w:pStyle w:val="BodyText-parastyle"/>
      </w:pPr>
      <w:r>
        <w:t xml:space="preserve">The tables above show that the potential minimum cost avoidance for social care usage for all of those supported by the Social Prescribing projects is </w:t>
      </w:r>
      <w:r w:rsidRPr="00B02411">
        <w:t>£</w:t>
      </w:r>
      <w:r w:rsidRPr="00833444">
        <w:t>96,708</w:t>
      </w:r>
      <w:r>
        <w:t xml:space="preserve"> and the maximum is </w:t>
      </w:r>
      <w:r w:rsidRPr="00B02411">
        <w:t>£</w:t>
      </w:r>
      <w:r w:rsidRPr="00833444">
        <w:t>211,446</w:t>
      </w:r>
      <w:r>
        <w:t>.</w:t>
      </w:r>
    </w:p>
    <w:p w14:paraId="285B2188" w14:textId="77777777" w:rsidR="00833444" w:rsidRDefault="0068209C" w:rsidP="00AE785D">
      <w:pPr>
        <w:pStyle w:val="BodyText-parastyle"/>
      </w:pPr>
      <w:r>
        <w:t>Therefore the total</w:t>
      </w:r>
      <w:r w:rsidRPr="0068209C">
        <w:t xml:space="preserve"> potential minimum cost avoidance for all of those supported by the Social Prescribing projects is £1,444,929</w:t>
      </w:r>
      <w:r>
        <w:t xml:space="preserve"> and the maximum is </w:t>
      </w:r>
      <w:r w:rsidRPr="0068209C">
        <w:t>£2,308,128</w:t>
      </w:r>
      <w:r>
        <w:t>.</w:t>
      </w:r>
    </w:p>
    <w:p w14:paraId="4B221A46" w14:textId="20D86335" w:rsidR="00603E87" w:rsidRDefault="00603E87" w:rsidP="00603E87">
      <w:pPr>
        <w:pStyle w:val="Heading2"/>
      </w:pPr>
      <w:bookmarkStart w:id="69" w:name="_Toc497934295"/>
      <w:r>
        <w:t>Cost Effectiveness</w:t>
      </w:r>
      <w:bookmarkEnd w:id="69"/>
      <w:r>
        <w:t xml:space="preserve"> </w:t>
      </w:r>
    </w:p>
    <w:p w14:paraId="7656CE49" w14:textId="77777777" w:rsidR="00603E87" w:rsidRPr="00755187" w:rsidRDefault="00603E87" w:rsidP="00D465F1">
      <w:pPr>
        <w:pStyle w:val="Heading3"/>
      </w:pPr>
      <w:r w:rsidRPr="00755187">
        <w:t>Understanding the cost-effectiveness of Social Prescribing in Essex</w:t>
      </w:r>
    </w:p>
    <w:p w14:paraId="7B34C512" w14:textId="77777777" w:rsidR="00603E87" w:rsidRPr="00755187" w:rsidRDefault="00603E87" w:rsidP="00AE785D">
      <w:pPr>
        <w:pStyle w:val="BodyText-parastyle"/>
      </w:pPr>
      <w:r w:rsidRPr="00755187">
        <w:t xml:space="preserve">The National Institute for Health and Care Excellence (NICE) guidelines on the methods to be used in the economic evaluation of health interventions preference cost utility analyses (CUAs). In CUA, the consequences of interventions are measured in Quality Adjusted Life Years (QALYs) which combine length of life with a utility value for health related quality of life (HRQL). The evaluation questionnaire captured data on respondent's health related quality of life (HRQL) using the EQ5D tool. This enables an assessment of the cost-effectiveness (CUA) of the </w:t>
      </w:r>
      <w:r w:rsidR="00131B94" w:rsidRPr="00755187">
        <w:t>Social Prescribing projects</w:t>
      </w:r>
      <w:r w:rsidRPr="00755187">
        <w:t xml:space="preserve"> from a health perspective </w:t>
      </w:r>
      <w:r w:rsidR="00131B94" w:rsidRPr="00755187">
        <w:t>via</w:t>
      </w:r>
      <w:r w:rsidRPr="00755187">
        <w:t xml:space="preserve"> HRQL and QALYs. The following sections present analysis of the HRQL of survey respondents and use this to produce a simple estimated CUA for </w:t>
      </w:r>
      <w:r w:rsidR="00131B94" w:rsidRPr="00755187">
        <w:t xml:space="preserve">the </w:t>
      </w:r>
      <w:r w:rsidRPr="00755187">
        <w:t xml:space="preserve">Social Prescribing </w:t>
      </w:r>
      <w:r w:rsidR="00131B94" w:rsidRPr="00755187">
        <w:t xml:space="preserve">projects </w:t>
      </w:r>
      <w:r w:rsidRPr="00755187">
        <w:t>in Essex.</w:t>
      </w:r>
    </w:p>
    <w:p w14:paraId="32793BCD" w14:textId="77777777" w:rsidR="00603E87" w:rsidRPr="00755187" w:rsidRDefault="00603E87" w:rsidP="00D465F1">
      <w:pPr>
        <w:pStyle w:val="Heading3"/>
      </w:pPr>
      <w:r w:rsidRPr="00755187">
        <w:t>An overview of the HRQL of Social Prescribing beneficiaries</w:t>
      </w:r>
    </w:p>
    <w:p w14:paraId="6FF7EF7A" w14:textId="5698DA51" w:rsidR="00603E87" w:rsidRPr="00755187" w:rsidRDefault="00603E87" w:rsidP="00AE785D">
      <w:pPr>
        <w:pStyle w:val="BodyText-parastyle"/>
      </w:pPr>
      <w:r w:rsidRPr="00755187">
        <w:t xml:space="preserve">Table </w:t>
      </w:r>
      <w:r w:rsidR="00EE788C" w:rsidRPr="00755187">
        <w:t>8.17</w:t>
      </w:r>
      <w:r w:rsidRPr="00755187">
        <w:t xml:space="preserve"> provides an overview of the average (mean) HRQL scores at baseline and follow-up for the full survey sample. Figures are also provided for 25th, 50th and 75th percentiles. It shows that, at baseline, the mean HRQL score was 0.489, and that this increased to 0.592 at follow-up. This means that there was an overall improvement in the mean HRQL score for the Social Prescribing beneficiaries of 0.103</w:t>
      </w:r>
      <w:r w:rsidR="004D6BD1" w:rsidRPr="00755187">
        <w:t xml:space="preserve"> between baseline and follow-up</w:t>
      </w:r>
      <w:r w:rsidRPr="00755187">
        <w:t xml:space="preserve">. Importantly, the percentile scores show that the largest improvement in the mean HRQL occurred within the 25th percentile, indicating that it was the </w:t>
      </w:r>
      <w:r w:rsidR="00131B94" w:rsidRPr="00755187">
        <w:t>‘</w:t>
      </w:r>
      <w:r w:rsidRPr="00755187">
        <w:t xml:space="preserve">least </w:t>
      </w:r>
      <w:r w:rsidR="00131B94" w:rsidRPr="00755187">
        <w:t>healthy’</w:t>
      </w:r>
      <w:r w:rsidRPr="00755187">
        <w:t xml:space="preserve"> </w:t>
      </w:r>
      <w:r w:rsidR="00131B94" w:rsidRPr="00755187">
        <w:t>Social Prescribing</w:t>
      </w:r>
      <w:r w:rsidRPr="00755187">
        <w:t xml:space="preserve"> beneficiaries whose health improved the most. This is fur</w:t>
      </w:r>
      <w:r w:rsidR="00131B94" w:rsidRPr="00755187">
        <w:t>ther evidenced by the fact that</w:t>
      </w:r>
      <w:r w:rsidRPr="00755187">
        <w:t xml:space="preserve"> at baseline 43 beneficiaries had</w:t>
      </w:r>
      <w:r w:rsidR="00131B94" w:rsidRPr="00755187">
        <w:t xml:space="preserve"> an HRQL score of less than 0.5</w:t>
      </w:r>
      <w:r w:rsidRPr="00755187">
        <w:t xml:space="preserve"> and that this reduced to 28 at follow-up.</w:t>
      </w:r>
    </w:p>
    <w:p w14:paraId="15AB0A84" w14:textId="77777777" w:rsidR="00603E87" w:rsidRPr="00755187" w:rsidRDefault="00603E87" w:rsidP="00CD4614">
      <w:pPr>
        <w:pStyle w:val="IntenseQuote"/>
      </w:pPr>
      <w:r w:rsidRPr="00755187">
        <w:t xml:space="preserve">Table </w:t>
      </w:r>
      <w:r w:rsidRPr="00755187">
        <w:fldChar w:fldCharType="begin"/>
      </w:r>
      <w:r w:rsidRPr="00755187">
        <w:instrText xml:space="preserve"> STYLEREF 1 \s </w:instrText>
      </w:r>
      <w:r w:rsidRPr="00755187">
        <w:fldChar w:fldCharType="separate"/>
      </w:r>
      <w:r w:rsidR="00F006C8">
        <w:rPr>
          <w:noProof/>
        </w:rPr>
        <w:t>8</w:t>
      </w:r>
      <w:r w:rsidRPr="00755187">
        <w:fldChar w:fldCharType="end"/>
      </w:r>
      <w:r w:rsidRPr="00755187">
        <w:t>:</w:t>
      </w:r>
      <w:r w:rsidRPr="00755187">
        <w:fldChar w:fldCharType="begin"/>
      </w:r>
      <w:r w:rsidRPr="00755187">
        <w:instrText xml:space="preserve"> SEQ Table \* ARABIC \s 1 </w:instrText>
      </w:r>
      <w:r w:rsidRPr="00755187">
        <w:fldChar w:fldCharType="separate"/>
      </w:r>
      <w:r w:rsidR="00F006C8">
        <w:rPr>
          <w:noProof/>
        </w:rPr>
        <w:t>17</w:t>
      </w:r>
      <w:r w:rsidRPr="00755187">
        <w:fldChar w:fldCharType="end"/>
      </w:r>
      <w:r w:rsidRPr="00755187">
        <w:t>: Baseline and follow-up HRQL scores for the full evaluation sample</w:t>
      </w:r>
    </w:p>
    <w:tbl>
      <w:tblPr>
        <w:tblStyle w:val="ForfasTableGrid1"/>
        <w:tblW w:w="9634" w:type="dxa"/>
        <w:tblLayout w:type="fixed"/>
        <w:tblLook w:val="04A0" w:firstRow="1" w:lastRow="0" w:firstColumn="1" w:lastColumn="0" w:noHBand="0" w:noVBand="1"/>
      </w:tblPr>
      <w:tblGrid>
        <w:gridCol w:w="2408"/>
        <w:gridCol w:w="2409"/>
        <w:gridCol w:w="2408"/>
        <w:gridCol w:w="2409"/>
      </w:tblGrid>
      <w:tr w:rsidR="00603E87" w:rsidRPr="00755187" w14:paraId="1D61844D" w14:textId="77777777" w:rsidTr="00603E87">
        <w:trPr>
          <w:cnfStyle w:val="100000000000" w:firstRow="1" w:lastRow="0" w:firstColumn="0" w:lastColumn="0" w:oddVBand="0" w:evenVBand="0" w:oddHBand="0" w:evenHBand="0" w:firstRowFirstColumn="0" w:firstRowLastColumn="0" w:lastRowFirstColumn="0" w:lastRowLastColumn="0"/>
        </w:trPr>
        <w:tc>
          <w:tcPr>
            <w:tcW w:w="2408" w:type="dxa"/>
          </w:tcPr>
          <w:p w14:paraId="5DBF32B5" w14:textId="77777777" w:rsidR="00603E87" w:rsidRPr="00755187" w:rsidRDefault="00603E87" w:rsidP="00603E87">
            <w:pPr>
              <w:pStyle w:val="TableHeading"/>
            </w:pPr>
          </w:p>
        </w:tc>
        <w:tc>
          <w:tcPr>
            <w:tcW w:w="2409" w:type="dxa"/>
          </w:tcPr>
          <w:p w14:paraId="0B0931E8" w14:textId="77777777" w:rsidR="00603E87" w:rsidRPr="00755187" w:rsidRDefault="00603E87" w:rsidP="00603E87">
            <w:pPr>
              <w:pStyle w:val="TableHeading"/>
            </w:pPr>
            <w:r w:rsidRPr="00755187">
              <w:t>Baseline</w:t>
            </w:r>
          </w:p>
        </w:tc>
        <w:tc>
          <w:tcPr>
            <w:tcW w:w="2408" w:type="dxa"/>
          </w:tcPr>
          <w:p w14:paraId="7ACC5730" w14:textId="77777777" w:rsidR="00603E87" w:rsidRPr="00755187" w:rsidRDefault="00603E87" w:rsidP="00603E87">
            <w:pPr>
              <w:pStyle w:val="TableHeading"/>
            </w:pPr>
            <w:r w:rsidRPr="00755187">
              <w:t>Follow-up</w:t>
            </w:r>
          </w:p>
        </w:tc>
        <w:tc>
          <w:tcPr>
            <w:tcW w:w="2409" w:type="dxa"/>
          </w:tcPr>
          <w:p w14:paraId="0C39B856" w14:textId="77777777" w:rsidR="00603E87" w:rsidRPr="00755187" w:rsidRDefault="00603E87" w:rsidP="00603E87">
            <w:pPr>
              <w:pStyle w:val="TableHeading"/>
            </w:pPr>
            <w:r w:rsidRPr="00755187">
              <w:t>Change</w:t>
            </w:r>
          </w:p>
        </w:tc>
      </w:tr>
      <w:tr w:rsidR="00603E87" w:rsidRPr="00755187" w14:paraId="09F9DA68" w14:textId="77777777" w:rsidTr="00603E87">
        <w:trPr>
          <w:cnfStyle w:val="000000100000" w:firstRow="0" w:lastRow="0" w:firstColumn="0" w:lastColumn="0" w:oddVBand="0" w:evenVBand="0" w:oddHBand="1" w:evenHBand="0" w:firstRowFirstColumn="0" w:firstRowLastColumn="0" w:lastRowFirstColumn="0" w:lastRowLastColumn="0"/>
        </w:trPr>
        <w:tc>
          <w:tcPr>
            <w:tcW w:w="2408" w:type="dxa"/>
          </w:tcPr>
          <w:p w14:paraId="411D3545" w14:textId="77777777" w:rsidR="00603E87" w:rsidRPr="00755187" w:rsidRDefault="00603E87" w:rsidP="00603E87">
            <w:pPr>
              <w:pStyle w:val="TableParagraph"/>
            </w:pPr>
            <w:r w:rsidRPr="00755187">
              <w:t>Sample mean</w:t>
            </w:r>
          </w:p>
        </w:tc>
        <w:tc>
          <w:tcPr>
            <w:tcW w:w="2409" w:type="dxa"/>
          </w:tcPr>
          <w:p w14:paraId="189173DB" w14:textId="77777777" w:rsidR="00603E87" w:rsidRPr="00755187" w:rsidRDefault="00603E87" w:rsidP="00603E87">
            <w:pPr>
              <w:pStyle w:val="TableParagraph"/>
              <w:rPr>
                <w:color w:val="000000"/>
              </w:rPr>
            </w:pPr>
            <w:r w:rsidRPr="00755187">
              <w:rPr>
                <w:color w:val="000000"/>
              </w:rPr>
              <w:t>0.489</w:t>
            </w:r>
          </w:p>
        </w:tc>
        <w:tc>
          <w:tcPr>
            <w:tcW w:w="2408" w:type="dxa"/>
          </w:tcPr>
          <w:p w14:paraId="1F165F98" w14:textId="77777777" w:rsidR="00603E87" w:rsidRPr="00755187" w:rsidRDefault="00603E87" w:rsidP="00603E87">
            <w:pPr>
              <w:pStyle w:val="TableParagraph"/>
              <w:rPr>
                <w:color w:val="000000"/>
              </w:rPr>
            </w:pPr>
            <w:r w:rsidRPr="00755187">
              <w:rPr>
                <w:color w:val="000000"/>
              </w:rPr>
              <w:t>0.592</w:t>
            </w:r>
          </w:p>
        </w:tc>
        <w:tc>
          <w:tcPr>
            <w:tcW w:w="2409" w:type="dxa"/>
          </w:tcPr>
          <w:p w14:paraId="385E0530" w14:textId="77777777" w:rsidR="00603E87" w:rsidRPr="00755187" w:rsidRDefault="00603E87" w:rsidP="00603E87">
            <w:pPr>
              <w:pStyle w:val="TableParagraph"/>
            </w:pPr>
            <w:r w:rsidRPr="00755187">
              <w:t>0.103</w:t>
            </w:r>
          </w:p>
        </w:tc>
      </w:tr>
      <w:tr w:rsidR="00603E87" w:rsidRPr="00755187" w14:paraId="44B67E13" w14:textId="77777777" w:rsidTr="00603E87">
        <w:trPr>
          <w:cnfStyle w:val="000000010000" w:firstRow="0" w:lastRow="0" w:firstColumn="0" w:lastColumn="0" w:oddVBand="0" w:evenVBand="0" w:oddHBand="0" w:evenHBand="1" w:firstRowFirstColumn="0" w:firstRowLastColumn="0" w:lastRowFirstColumn="0" w:lastRowLastColumn="0"/>
        </w:trPr>
        <w:tc>
          <w:tcPr>
            <w:tcW w:w="2408" w:type="dxa"/>
          </w:tcPr>
          <w:p w14:paraId="513C84B2" w14:textId="77777777" w:rsidR="00603E87" w:rsidRPr="00755187" w:rsidRDefault="00603E87" w:rsidP="00603E87">
            <w:pPr>
              <w:pStyle w:val="TableParagraph"/>
            </w:pPr>
            <w:r w:rsidRPr="00755187">
              <w:t>25</w:t>
            </w:r>
            <w:r w:rsidRPr="00755187">
              <w:rPr>
                <w:vertAlign w:val="superscript"/>
              </w:rPr>
              <w:t>th</w:t>
            </w:r>
            <w:r w:rsidRPr="00755187">
              <w:t xml:space="preserve"> Percentile</w:t>
            </w:r>
          </w:p>
        </w:tc>
        <w:tc>
          <w:tcPr>
            <w:tcW w:w="2409" w:type="dxa"/>
          </w:tcPr>
          <w:p w14:paraId="19BB945B" w14:textId="77777777" w:rsidR="00603E87" w:rsidRPr="00755187" w:rsidRDefault="00603E87" w:rsidP="00603E87">
            <w:pPr>
              <w:pStyle w:val="TableParagraph"/>
              <w:rPr>
                <w:szCs w:val="18"/>
              </w:rPr>
            </w:pPr>
            <w:r w:rsidRPr="00755187">
              <w:rPr>
                <w:szCs w:val="18"/>
              </w:rPr>
              <w:t>0.124</w:t>
            </w:r>
          </w:p>
        </w:tc>
        <w:tc>
          <w:tcPr>
            <w:tcW w:w="2408" w:type="dxa"/>
          </w:tcPr>
          <w:p w14:paraId="4C372BEB" w14:textId="77777777" w:rsidR="00603E87" w:rsidRPr="00755187" w:rsidRDefault="00603E87" w:rsidP="00603E87">
            <w:pPr>
              <w:pStyle w:val="TableParagraph"/>
            </w:pPr>
            <w:r w:rsidRPr="00755187">
              <w:t>0.5160</w:t>
            </w:r>
          </w:p>
        </w:tc>
        <w:tc>
          <w:tcPr>
            <w:tcW w:w="2409" w:type="dxa"/>
          </w:tcPr>
          <w:p w14:paraId="7B9CAD6F" w14:textId="77777777" w:rsidR="00603E87" w:rsidRPr="00755187" w:rsidRDefault="00603E87" w:rsidP="00603E87">
            <w:pPr>
              <w:pStyle w:val="TableParagraph"/>
            </w:pPr>
            <w:r w:rsidRPr="00755187">
              <w:t>0.392</w:t>
            </w:r>
          </w:p>
        </w:tc>
      </w:tr>
      <w:tr w:rsidR="00603E87" w:rsidRPr="00755187" w14:paraId="5DFE0F0B" w14:textId="77777777" w:rsidTr="00603E87">
        <w:trPr>
          <w:cnfStyle w:val="000000100000" w:firstRow="0" w:lastRow="0" w:firstColumn="0" w:lastColumn="0" w:oddVBand="0" w:evenVBand="0" w:oddHBand="1" w:evenHBand="0" w:firstRowFirstColumn="0" w:firstRowLastColumn="0" w:lastRowFirstColumn="0" w:lastRowLastColumn="0"/>
        </w:trPr>
        <w:tc>
          <w:tcPr>
            <w:tcW w:w="2408" w:type="dxa"/>
          </w:tcPr>
          <w:p w14:paraId="280F7765" w14:textId="77777777" w:rsidR="00603E87" w:rsidRPr="00755187" w:rsidRDefault="00603E87" w:rsidP="00603E87">
            <w:pPr>
              <w:pStyle w:val="TableParagraph"/>
            </w:pPr>
            <w:r w:rsidRPr="00755187">
              <w:t>50</w:t>
            </w:r>
            <w:r w:rsidRPr="00755187">
              <w:rPr>
                <w:vertAlign w:val="superscript"/>
              </w:rPr>
              <w:t>th</w:t>
            </w:r>
            <w:r w:rsidRPr="00755187">
              <w:t xml:space="preserve"> Percentile</w:t>
            </w:r>
          </w:p>
        </w:tc>
        <w:tc>
          <w:tcPr>
            <w:tcW w:w="2409" w:type="dxa"/>
          </w:tcPr>
          <w:p w14:paraId="74642505" w14:textId="77777777" w:rsidR="00603E87" w:rsidRPr="00755187" w:rsidRDefault="00603E87" w:rsidP="00603E87">
            <w:pPr>
              <w:pStyle w:val="TableParagraph"/>
              <w:rPr>
                <w:szCs w:val="18"/>
              </w:rPr>
            </w:pPr>
            <w:r w:rsidRPr="00755187">
              <w:rPr>
                <w:szCs w:val="18"/>
              </w:rPr>
              <w:t>0.620</w:t>
            </w:r>
          </w:p>
        </w:tc>
        <w:tc>
          <w:tcPr>
            <w:tcW w:w="2408" w:type="dxa"/>
          </w:tcPr>
          <w:p w14:paraId="40ED2E06" w14:textId="77777777" w:rsidR="00603E87" w:rsidRPr="00755187" w:rsidRDefault="00603E87" w:rsidP="00603E87">
            <w:pPr>
              <w:pStyle w:val="TableParagraph"/>
            </w:pPr>
            <w:r w:rsidRPr="00755187">
              <w:t>0.6890</w:t>
            </w:r>
          </w:p>
        </w:tc>
        <w:tc>
          <w:tcPr>
            <w:tcW w:w="2409" w:type="dxa"/>
          </w:tcPr>
          <w:p w14:paraId="660B63BC" w14:textId="77777777" w:rsidR="00603E87" w:rsidRPr="00755187" w:rsidRDefault="00603E87" w:rsidP="00603E87">
            <w:pPr>
              <w:pStyle w:val="TableParagraph"/>
            </w:pPr>
            <w:r w:rsidRPr="00755187">
              <w:t>0.069</w:t>
            </w:r>
          </w:p>
        </w:tc>
      </w:tr>
      <w:tr w:rsidR="00603E87" w:rsidRPr="00755187" w14:paraId="6FA77932" w14:textId="77777777" w:rsidTr="00603E87">
        <w:trPr>
          <w:cnfStyle w:val="000000010000" w:firstRow="0" w:lastRow="0" w:firstColumn="0" w:lastColumn="0" w:oddVBand="0" w:evenVBand="0" w:oddHBand="0" w:evenHBand="1" w:firstRowFirstColumn="0" w:firstRowLastColumn="0" w:lastRowFirstColumn="0" w:lastRowLastColumn="0"/>
        </w:trPr>
        <w:tc>
          <w:tcPr>
            <w:tcW w:w="2408" w:type="dxa"/>
          </w:tcPr>
          <w:p w14:paraId="7693FA7A" w14:textId="77777777" w:rsidR="00603E87" w:rsidRPr="00755187" w:rsidRDefault="00603E87" w:rsidP="00603E87">
            <w:pPr>
              <w:pStyle w:val="TableParagraph"/>
            </w:pPr>
            <w:r w:rsidRPr="00755187">
              <w:t>75</w:t>
            </w:r>
            <w:r w:rsidRPr="00755187">
              <w:rPr>
                <w:vertAlign w:val="superscript"/>
              </w:rPr>
              <w:t>th</w:t>
            </w:r>
            <w:r w:rsidRPr="00755187">
              <w:t xml:space="preserve"> Percentile</w:t>
            </w:r>
          </w:p>
        </w:tc>
        <w:tc>
          <w:tcPr>
            <w:tcW w:w="2409" w:type="dxa"/>
          </w:tcPr>
          <w:p w14:paraId="25FD003A" w14:textId="77777777" w:rsidR="00603E87" w:rsidRPr="00755187" w:rsidRDefault="00603E87" w:rsidP="00603E87">
            <w:pPr>
              <w:pStyle w:val="TableParagraph"/>
              <w:rPr>
                <w:szCs w:val="18"/>
              </w:rPr>
            </w:pPr>
            <w:r w:rsidRPr="00755187">
              <w:rPr>
                <w:szCs w:val="18"/>
              </w:rPr>
              <w:t>0.727</w:t>
            </w:r>
          </w:p>
        </w:tc>
        <w:tc>
          <w:tcPr>
            <w:tcW w:w="2408" w:type="dxa"/>
          </w:tcPr>
          <w:p w14:paraId="75FE65BE" w14:textId="77777777" w:rsidR="00603E87" w:rsidRPr="00755187" w:rsidRDefault="00603E87" w:rsidP="00603E87">
            <w:pPr>
              <w:pStyle w:val="TableParagraph"/>
            </w:pPr>
            <w:r w:rsidRPr="00755187">
              <w:t>0.8480</w:t>
            </w:r>
          </w:p>
        </w:tc>
        <w:tc>
          <w:tcPr>
            <w:tcW w:w="2409" w:type="dxa"/>
          </w:tcPr>
          <w:p w14:paraId="3B921E76" w14:textId="77777777" w:rsidR="00603E87" w:rsidRPr="00755187" w:rsidRDefault="00603E87" w:rsidP="00603E87">
            <w:pPr>
              <w:pStyle w:val="TableParagraph"/>
            </w:pPr>
            <w:r w:rsidRPr="00755187">
              <w:t>0.121</w:t>
            </w:r>
          </w:p>
        </w:tc>
      </w:tr>
    </w:tbl>
    <w:p w14:paraId="06E15553" w14:textId="77777777" w:rsidR="00603E87" w:rsidRPr="00755187" w:rsidRDefault="00603E87" w:rsidP="00AE785D">
      <w:pPr>
        <w:pStyle w:val="BodyText-parastyle"/>
      </w:pPr>
    </w:p>
    <w:p w14:paraId="0D9302D5" w14:textId="4EBE341D" w:rsidR="00603E87" w:rsidRPr="00755187" w:rsidRDefault="00EE788C" w:rsidP="00AE785D">
      <w:pPr>
        <w:pStyle w:val="BodyText-parastyle"/>
      </w:pPr>
      <w:r w:rsidRPr="00755187">
        <w:t>Table 8.1</w:t>
      </w:r>
      <w:r w:rsidR="00170B6B">
        <w:t>8</w:t>
      </w:r>
      <w:r w:rsidR="00603E87" w:rsidRPr="00755187">
        <w:t xml:space="preserve"> provides a breakdown of the mean HRQL scores and the number of additional QALYs for five</w:t>
      </w:r>
      <w:r w:rsidR="00131B94" w:rsidRPr="00755187">
        <w:t xml:space="preserve"> of</w:t>
      </w:r>
      <w:r w:rsidR="00603E87" w:rsidRPr="00755187">
        <w:t xml:space="preserve"> </w:t>
      </w:r>
      <w:r w:rsidR="008803B3">
        <w:t xml:space="preserve">the </w:t>
      </w:r>
      <w:r w:rsidR="00131B94" w:rsidRPr="00755187">
        <w:t xml:space="preserve">Social Prescribing </w:t>
      </w:r>
      <w:r w:rsidR="00603E87" w:rsidRPr="00755187">
        <w:t xml:space="preserve">services </w:t>
      </w:r>
      <w:r w:rsidR="00131B94" w:rsidRPr="00755187">
        <w:t>which participated in the survey</w:t>
      </w:r>
      <w:r w:rsidR="00603E87" w:rsidRPr="00755187">
        <w:t>. It shows some variation at a project level:</w:t>
      </w:r>
    </w:p>
    <w:p w14:paraId="5BE06943" w14:textId="77777777" w:rsidR="00603E87" w:rsidRPr="00755187" w:rsidRDefault="00131B94" w:rsidP="00D53262">
      <w:pPr>
        <w:pStyle w:val="ListParagraph"/>
      </w:pPr>
      <w:r w:rsidRPr="00755187">
        <w:rPr>
          <w:color w:val="00B0F0"/>
        </w:rPr>
        <w:t>Basildon and Brentwood</w:t>
      </w:r>
      <w:r w:rsidRPr="00755187">
        <w:t xml:space="preserve"> -</w:t>
      </w:r>
      <w:r w:rsidR="00603E87" w:rsidRPr="00755187">
        <w:t xml:space="preserve"> mean HRQL increased from 0.432 at baseline to 0.628 at follow-up</w:t>
      </w:r>
    </w:p>
    <w:p w14:paraId="4B331EE8" w14:textId="77777777" w:rsidR="00603E87" w:rsidRPr="00755187" w:rsidRDefault="00603E87" w:rsidP="00D53262">
      <w:pPr>
        <w:pStyle w:val="ListParagraph"/>
      </w:pPr>
      <w:r w:rsidRPr="00755187">
        <w:rPr>
          <w:color w:val="00B0F0"/>
        </w:rPr>
        <w:t>Castle</w:t>
      </w:r>
      <w:r w:rsidR="004D6BD1" w:rsidRPr="00755187">
        <w:rPr>
          <w:color w:val="00B0F0"/>
        </w:rPr>
        <w:t xml:space="preserve"> P</w:t>
      </w:r>
      <w:r w:rsidR="00131B94" w:rsidRPr="00755187">
        <w:rPr>
          <w:color w:val="00B0F0"/>
        </w:rPr>
        <w:t>oint and Rochford</w:t>
      </w:r>
      <w:r w:rsidR="00131B94" w:rsidRPr="00755187">
        <w:t xml:space="preserve"> - </w:t>
      </w:r>
      <w:r w:rsidRPr="00755187">
        <w:t>there was no change in HRQL between baseline and follow-up (0.517)</w:t>
      </w:r>
    </w:p>
    <w:p w14:paraId="033595E2" w14:textId="77777777" w:rsidR="00603E87" w:rsidRPr="00755187" w:rsidRDefault="00131B94" w:rsidP="00D53262">
      <w:pPr>
        <w:pStyle w:val="ListParagraph"/>
      </w:pPr>
      <w:r w:rsidRPr="00755187">
        <w:rPr>
          <w:color w:val="00B0F0"/>
        </w:rPr>
        <w:t>Mid Essex</w:t>
      </w:r>
      <w:r w:rsidRPr="00755187">
        <w:t xml:space="preserve"> - </w:t>
      </w:r>
      <w:r w:rsidR="00603E87" w:rsidRPr="00755187">
        <w:t>there was a small increase in mean HRQL from 0.723 to 0.774, although overall HRQL was considerably higher than for the other projects</w:t>
      </w:r>
    </w:p>
    <w:p w14:paraId="39C3AC49" w14:textId="77777777" w:rsidR="00603E87" w:rsidRPr="00755187" w:rsidRDefault="00131B94" w:rsidP="00D53262">
      <w:pPr>
        <w:pStyle w:val="ListParagraph"/>
      </w:pPr>
      <w:r w:rsidRPr="00755187">
        <w:rPr>
          <w:color w:val="00B0F0"/>
        </w:rPr>
        <w:t>North East Essex</w:t>
      </w:r>
      <w:r w:rsidRPr="00755187">
        <w:t xml:space="preserve"> - </w:t>
      </w:r>
      <w:r w:rsidR="00603E87" w:rsidRPr="00755187">
        <w:t>mean HRQL reduced slightly from 0.579 at baseline to 0.532 at follow-up</w:t>
      </w:r>
    </w:p>
    <w:p w14:paraId="40036574" w14:textId="1530AA1A" w:rsidR="00720CC0" w:rsidRPr="00755187" w:rsidRDefault="00131B94" w:rsidP="00D53262">
      <w:pPr>
        <w:pStyle w:val="ListParagraph"/>
      </w:pPr>
      <w:r w:rsidRPr="00755187">
        <w:rPr>
          <w:color w:val="00B0F0"/>
        </w:rPr>
        <w:t>West Essex</w:t>
      </w:r>
      <w:r w:rsidRPr="00755187">
        <w:t xml:space="preserve"> - </w:t>
      </w:r>
      <w:r w:rsidR="00603E87" w:rsidRPr="00755187">
        <w:t>mean HRQL increased from 0.487 at baseline to 0.560 at follow-up</w:t>
      </w:r>
    </w:p>
    <w:p w14:paraId="63BDAE66" w14:textId="77777777" w:rsidR="00603E87" w:rsidRPr="00755187" w:rsidRDefault="00603E87" w:rsidP="00CD4614">
      <w:pPr>
        <w:pStyle w:val="IntenseQuote"/>
      </w:pPr>
      <w:r w:rsidRPr="00755187">
        <w:t xml:space="preserve">Table </w:t>
      </w:r>
      <w:r w:rsidRPr="00755187">
        <w:fldChar w:fldCharType="begin"/>
      </w:r>
      <w:r w:rsidRPr="00755187">
        <w:instrText xml:space="preserve"> STYLEREF 1 \s </w:instrText>
      </w:r>
      <w:r w:rsidRPr="00755187">
        <w:fldChar w:fldCharType="separate"/>
      </w:r>
      <w:r w:rsidR="00F006C8">
        <w:rPr>
          <w:noProof/>
        </w:rPr>
        <w:t>8</w:t>
      </w:r>
      <w:r w:rsidRPr="00755187">
        <w:fldChar w:fldCharType="end"/>
      </w:r>
      <w:r w:rsidRPr="00755187">
        <w:t>:</w:t>
      </w:r>
      <w:r w:rsidRPr="00755187">
        <w:fldChar w:fldCharType="begin"/>
      </w:r>
      <w:r w:rsidRPr="00755187">
        <w:instrText xml:space="preserve"> SEQ Table \* ARABIC \s 1 </w:instrText>
      </w:r>
      <w:r w:rsidRPr="00755187">
        <w:fldChar w:fldCharType="separate"/>
      </w:r>
      <w:r w:rsidR="00F006C8">
        <w:rPr>
          <w:noProof/>
        </w:rPr>
        <w:t>18</w:t>
      </w:r>
      <w:r w:rsidRPr="00755187">
        <w:fldChar w:fldCharType="end"/>
      </w:r>
      <w:r w:rsidRPr="00755187">
        <w:t>: Baseline and follow-up HRQL scores for each service</w:t>
      </w:r>
    </w:p>
    <w:tbl>
      <w:tblPr>
        <w:tblStyle w:val="ForfasTableGrid1"/>
        <w:tblW w:w="5000" w:type="pct"/>
        <w:tblLook w:val="04A0" w:firstRow="1" w:lastRow="0" w:firstColumn="1" w:lastColumn="0" w:noHBand="0" w:noVBand="1"/>
      </w:tblPr>
      <w:tblGrid>
        <w:gridCol w:w="2348"/>
        <w:gridCol w:w="1489"/>
        <w:gridCol w:w="1489"/>
        <w:gridCol w:w="1489"/>
        <w:gridCol w:w="1591"/>
        <w:gridCol w:w="1589"/>
      </w:tblGrid>
      <w:tr w:rsidR="00603E87" w:rsidRPr="00755187" w14:paraId="0E4AC3EE" w14:textId="77777777" w:rsidTr="002714E7">
        <w:trPr>
          <w:cnfStyle w:val="100000000000" w:firstRow="1" w:lastRow="0" w:firstColumn="0" w:lastColumn="0" w:oddVBand="0" w:evenVBand="0" w:oddHBand="0" w:evenHBand="0" w:firstRowFirstColumn="0" w:firstRowLastColumn="0" w:lastRowFirstColumn="0" w:lastRowLastColumn="0"/>
          <w:tblHeader/>
        </w:trPr>
        <w:tc>
          <w:tcPr>
            <w:tcW w:w="1174" w:type="pct"/>
            <w:vMerge w:val="restart"/>
          </w:tcPr>
          <w:p w14:paraId="7ED86507" w14:textId="77777777" w:rsidR="00603E87" w:rsidRPr="00755187" w:rsidRDefault="00603E87" w:rsidP="00603E87">
            <w:pPr>
              <w:spacing w:before="120" w:after="120"/>
              <w:jc w:val="center"/>
              <w:rPr>
                <w:b/>
              </w:rPr>
            </w:pPr>
          </w:p>
        </w:tc>
        <w:tc>
          <w:tcPr>
            <w:tcW w:w="745" w:type="pct"/>
            <w:vMerge w:val="restart"/>
          </w:tcPr>
          <w:p w14:paraId="4EA8C5E9" w14:textId="77777777" w:rsidR="00603E87" w:rsidRPr="00755187" w:rsidRDefault="00603E87" w:rsidP="00603E87">
            <w:pPr>
              <w:pStyle w:val="TableHeading"/>
            </w:pPr>
            <w:r w:rsidRPr="00755187">
              <w:t>Baseline</w:t>
            </w:r>
          </w:p>
        </w:tc>
        <w:tc>
          <w:tcPr>
            <w:tcW w:w="745" w:type="pct"/>
            <w:vMerge w:val="restart"/>
          </w:tcPr>
          <w:p w14:paraId="3BBD6BF6" w14:textId="77777777" w:rsidR="00603E87" w:rsidRPr="00755187" w:rsidRDefault="00603E87" w:rsidP="00603E87">
            <w:pPr>
              <w:pStyle w:val="TableHeading"/>
            </w:pPr>
            <w:r w:rsidRPr="00755187">
              <w:t>Follow-up</w:t>
            </w:r>
          </w:p>
        </w:tc>
        <w:tc>
          <w:tcPr>
            <w:tcW w:w="745" w:type="pct"/>
            <w:vMerge w:val="restart"/>
          </w:tcPr>
          <w:p w14:paraId="6CE3A0EB" w14:textId="77777777" w:rsidR="00603E87" w:rsidRPr="00755187" w:rsidRDefault="00603E87" w:rsidP="00603E87">
            <w:pPr>
              <w:pStyle w:val="TableHeading"/>
            </w:pPr>
            <w:r w:rsidRPr="00755187">
              <w:t>Change</w:t>
            </w:r>
          </w:p>
        </w:tc>
        <w:tc>
          <w:tcPr>
            <w:tcW w:w="1591" w:type="pct"/>
            <w:gridSpan w:val="2"/>
          </w:tcPr>
          <w:p w14:paraId="73A14E6E" w14:textId="77777777" w:rsidR="00603E87" w:rsidRPr="00755187" w:rsidRDefault="00603E87" w:rsidP="00603E87">
            <w:pPr>
              <w:pStyle w:val="TableHeading"/>
            </w:pPr>
            <w:r w:rsidRPr="00755187">
              <w:t>Additional QALYs</w:t>
            </w:r>
          </w:p>
        </w:tc>
      </w:tr>
      <w:tr w:rsidR="00603E87" w:rsidRPr="00755187" w14:paraId="3160C99E" w14:textId="77777777" w:rsidTr="002714E7">
        <w:trPr>
          <w:cnfStyle w:val="100000000000" w:firstRow="1" w:lastRow="0" w:firstColumn="0" w:lastColumn="0" w:oddVBand="0" w:evenVBand="0" w:oddHBand="0" w:evenHBand="0" w:firstRowFirstColumn="0" w:firstRowLastColumn="0" w:lastRowFirstColumn="0" w:lastRowLastColumn="0"/>
          <w:tblHeader/>
        </w:trPr>
        <w:tc>
          <w:tcPr>
            <w:tcW w:w="1174" w:type="pct"/>
            <w:vMerge/>
          </w:tcPr>
          <w:p w14:paraId="654B3F93" w14:textId="77777777" w:rsidR="00603E87" w:rsidRPr="00755187" w:rsidRDefault="00603E87" w:rsidP="00603E87">
            <w:pPr>
              <w:spacing w:before="120" w:after="120"/>
              <w:rPr>
                <w:szCs w:val="18"/>
              </w:rPr>
            </w:pPr>
          </w:p>
        </w:tc>
        <w:tc>
          <w:tcPr>
            <w:tcW w:w="745" w:type="pct"/>
            <w:vMerge/>
          </w:tcPr>
          <w:p w14:paraId="12D2DA80" w14:textId="77777777" w:rsidR="00603E87" w:rsidRPr="00755187" w:rsidRDefault="00603E87" w:rsidP="00603E87">
            <w:pPr>
              <w:pStyle w:val="TableHeading"/>
              <w:rPr>
                <w:szCs w:val="18"/>
              </w:rPr>
            </w:pPr>
          </w:p>
        </w:tc>
        <w:tc>
          <w:tcPr>
            <w:tcW w:w="745" w:type="pct"/>
            <w:vMerge/>
          </w:tcPr>
          <w:p w14:paraId="3E1509C9" w14:textId="77777777" w:rsidR="00603E87" w:rsidRPr="00755187" w:rsidRDefault="00603E87" w:rsidP="00603E87">
            <w:pPr>
              <w:pStyle w:val="TableHeading"/>
              <w:rPr>
                <w:szCs w:val="18"/>
              </w:rPr>
            </w:pPr>
          </w:p>
        </w:tc>
        <w:tc>
          <w:tcPr>
            <w:tcW w:w="745" w:type="pct"/>
            <w:vMerge/>
          </w:tcPr>
          <w:p w14:paraId="48254115" w14:textId="77777777" w:rsidR="00603E87" w:rsidRPr="00755187" w:rsidRDefault="00603E87" w:rsidP="00603E87">
            <w:pPr>
              <w:pStyle w:val="TableHeading"/>
              <w:rPr>
                <w:szCs w:val="18"/>
              </w:rPr>
            </w:pPr>
          </w:p>
        </w:tc>
        <w:tc>
          <w:tcPr>
            <w:tcW w:w="796" w:type="pct"/>
          </w:tcPr>
          <w:p w14:paraId="583E8D08" w14:textId="77777777" w:rsidR="00603E87" w:rsidRPr="00755187" w:rsidRDefault="00603E87" w:rsidP="00603E87">
            <w:pPr>
              <w:pStyle w:val="TableHeading"/>
              <w:rPr>
                <w:i/>
                <w:sz w:val="18"/>
                <w:szCs w:val="18"/>
              </w:rPr>
            </w:pPr>
            <w:r w:rsidRPr="00755187">
              <w:rPr>
                <w:i/>
                <w:sz w:val="18"/>
                <w:szCs w:val="18"/>
              </w:rPr>
              <w:t>Survey</w:t>
            </w:r>
          </w:p>
        </w:tc>
        <w:tc>
          <w:tcPr>
            <w:tcW w:w="795" w:type="pct"/>
          </w:tcPr>
          <w:p w14:paraId="72B553E7" w14:textId="77777777" w:rsidR="00603E87" w:rsidRPr="00755187" w:rsidRDefault="00603E87" w:rsidP="00603E87">
            <w:pPr>
              <w:pStyle w:val="TableHeading"/>
              <w:rPr>
                <w:szCs w:val="18"/>
              </w:rPr>
            </w:pPr>
            <w:r w:rsidRPr="00755187">
              <w:rPr>
                <w:i/>
                <w:sz w:val="18"/>
                <w:szCs w:val="18"/>
              </w:rPr>
              <w:t>All beneficiaries</w:t>
            </w:r>
          </w:p>
        </w:tc>
      </w:tr>
      <w:tr w:rsidR="00603E87" w:rsidRPr="00755187" w14:paraId="5CF631A3" w14:textId="77777777" w:rsidTr="002714E7">
        <w:trPr>
          <w:cnfStyle w:val="000000100000" w:firstRow="0" w:lastRow="0" w:firstColumn="0" w:lastColumn="0" w:oddVBand="0" w:evenVBand="0" w:oddHBand="1" w:evenHBand="0" w:firstRowFirstColumn="0" w:firstRowLastColumn="0" w:lastRowFirstColumn="0" w:lastRowLastColumn="0"/>
        </w:trPr>
        <w:tc>
          <w:tcPr>
            <w:tcW w:w="1174" w:type="pct"/>
          </w:tcPr>
          <w:p w14:paraId="6923803F" w14:textId="77777777" w:rsidR="00603E87" w:rsidRPr="00755187" w:rsidRDefault="00603E87" w:rsidP="00603E87">
            <w:pPr>
              <w:pStyle w:val="TableParagraph"/>
            </w:pPr>
            <w:r w:rsidRPr="00755187">
              <w:t>Basildon and Brentwood</w:t>
            </w:r>
          </w:p>
        </w:tc>
        <w:tc>
          <w:tcPr>
            <w:tcW w:w="745" w:type="pct"/>
          </w:tcPr>
          <w:p w14:paraId="11FBE687" w14:textId="77777777" w:rsidR="00603E87" w:rsidRPr="00755187" w:rsidRDefault="00603E87" w:rsidP="00603E87">
            <w:pPr>
              <w:pStyle w:val="TableParagraph"/>
            </w:pPr>
            <w:r w:rsidRPr="00755187">
              <w:t>0.432</w:t>
            </w:r>
          </w:p>
        </w:tc>
        <w:tc>
          <w:tcPr>
            <w:tcW w:w="745" w:type="pct"/>
          </w:tcPr>
          <w:p w14:paraId="07C78344" w14:textId="77777777" w:rsidR="00603E87" w:rsidRPr="00755187" w:rsidRDefault="00603E87" w:rsidP="00603E87">
            <w:pPr>
              <w:pStyle w:val="TableParagraph"/>
            </w:pPr>
            <w:r w:rsidRPr="00755187">
              <w:t>0.628</w:t>
            </w:r>
          </w:p>
        </w:tc>
        <w:tc>
          <w:tcPr>
            <w:tcW w:w="745" w:type="pct"/>
          </w:tcPr>
          <w:p w14:paraId="0C03805A" w14:textId="77777777" w:rsidR="00603E87" w:rsidRPr="00755187" w:rsidRDefault="00603E87" w:rsidP="00603E87">
            <w:pPr>
              <w:pStyle w:val="TableParagraph"/>
            </w:pPr>
            <w:r w:rsidRPr="00755187">
              <w:t>0.196</w:t>
            </w:r>
          </w:p>
        </w:tc>
        <w:tc>
          <w:tcPr>
            <w:tcW w:w="796" w:type="pct"/>
          </w:tcPr>
          <w:p w14:paraId="7D5FBC75" w14:textId="77777777" w:rsidR="00603E87" w:rsidRPr="00755187" w:rsidRDefault="00603E87" w:rsidP="00603E87">
            <w:pPr>
              <w:pStyle w:val="TableParagraph"/>
              <w:rPr>
                <w:color w:val="000000"/>
              </w:rPr>
            </w:pPr>
            <w:r w:rsidRPr="00755187">
              <w:rPr>
                <w:color w:val="000000"/>
              </w:rPr>
              <w:t>13.524</w:t>
            </w:r>
          </w:p>
        </w:tc>
        <w:tc>
          <w:tcPr>
            <w:tcW w:w="795" w:type="pct"/>
          </w:tcPr>
          <w:p w14:paraId="5CCDC472" w14:textId="77777777" w:rsidR="00603E87" w:rsidRPr="00755187" w:rsidRDefault="00603E87" w:rsidP="00603E87">
            <w:pPr>
              <w:pStyle w:val="TableParagraph"/>
              <w:rPr>
                <w:color w:val="000000"/>
              </w:rPr>
            </w:pPr>
            <w:r w:rsidRPr="00755187">
              <w:rPr>
                <w:color w:val="000000"/>
              </w:rPr>
              <w:t>58.996</w:t>
            </w:r>
          </w:p>
        </w:tc>
      </w:tr>
      <w:tr w:rsidR="00603E87" w:rsidRPr="00755187" w14:paraId="4AE4A958" w14:textId="77777777" w:rsidTr="002714E7">
        <w:trPr>
          <w:cnfStyle w:val="000000010000" w:firstRow="0" w:lastRow="0" w:firstColumn="0" w:lastColumn="0" w:oddVBand="0" w:evenVBand="0" w:oddHBand="0" w:evenHBand="1" w:firstRowFirstColumn="0" w:firstRowLastColumn="0" w:lastRowFirstColumn="0" w:lastRowLastColumn="0"/>
        </w:trPr>
        <w:tc>
          <w:tcPr>
            <w:tcW w:w="1174" w:type="pct"/>
          </w:tcPr>
          <w:p w14:paraId="6BDB2D74" w14:textId="77777777" w:rsidR="00603E87" w:rsidRPr="00755187" w:rsidRDefault="00603E87" w:rsidP="00603E87">
            <w:pPr>
              <w:pStyle w:val="TableParagraph"/>
            </w:pPr>
            <w:r w:rsidRPr="00755187">
              <w:t>Castle</w:t>
            </w:r>
            <w:r w:rsidR="004D6BD1" w:rsidRPr="00755187">
              <w:t xml:space="preserve"> P</w:t>
            </w:r>
            <w:r w:rsidRPr="00755187">
              <w:t>oint and Rochford</w:t>
            </w:r>
          </w:p>
        </w:tc>
        <w:tc>
          <w:tcPr>
            <w:tcW w:w="745" w:type="pct"/>
          </w:tcPr>
          <w:p w14:paraId="526BA2EA" w14:textId="77777777" w:rsidR="00603E87" w:rsidRPr="00755187" w:rsidRDefault="00603E87" w:rsidP="00603E87">
            <w:pPr>
              <w:pStyle w:val="TableParagraph"/>
            </w:pPr>
            <w:r w:rsidRPr="00755187">
              <w:t>0.517</w:t>
            </w:r>
          </w:p>
        </w:tc>
        <w:tc>
          <w:tcPr>
            <w:tcW w:w="745" w:type="pct"/>
          </w:tcPr>
          <w:p w14:paraId="0655DAE1" w14:textId="77777777" w:rsidR="00603E87" w:rsidRPr="00755187" w:rsidRDefault="00603E87" w:rsidP="00603E87">
            <w:pPr>
              <w:pStyle w:val="TableParagraph"/>
            </w:pPr>
            <w:r w:rsidRPr="00755187">
              <w:t>0.517</w:t>
            </w:r>
          </w:p>
        </w:tc>
        <w:tc>
          <w:tcPr>
            <w:tcW w:w="745" w:type="pct"/>
          </w:tcPr>
          <w:p w14:paraId="26BAA47C" w14:textId="77777777" w:rsidR="00603E87" w:rsidRPr="00755187" w:rsidRDefault="00603E87" w:rsidP="00603E87">
            <w:pPr>
              <w:pStyle w:val="TableParagraph"/>
            </w:pPr>
            <w:r w:rsidRPr="00755187">
              <w:t>0.000</w:t>
            </w:r>
          </w:p>
        </w:tc>
        <w:tc>
          <w:tcPr>
            <w:tcW w:w="796" w:type="pct"/>
          </w:tcPr>
          <w:p w14:paraId="6144EC1B" w14:textId="77777777" w:rsidR="00603E87" w:rsidRPr="00755187" w:rsidRDefault="00603E87" w:rsidP="00603E87">
            <w:pPr>
              <w:pStyle w:val="TableParagraph"/>
              <w:rPr>
                <w:color w:val="000000"/>
              </w:rPr>
            </w:pPr>
            <w:r w:rsidRPr="00755187">
              <w:rPr>
                <w:color w:val="000000"/>
              </w:rPr>
              <w:t>0</w:t>
            </w:r>
          </w:p>
        </w:tc>
        <w:tc>
          <w:tcPr>
            <w:tcW w:w="795" w:type="pct"/>
          </w:tcPr>
          <w:p w14:paraId="2C22B774" w14:textId="77777777" w:rsidR="00603E87" w:rsidRPr="00755187" w:rsidRDefault="00603E87" w:rsidP="00603E87">
            <w:pPr>
              <w:pStyle w:val="TableParagraph"/>
              <w:rPr>
                <w:color w:val="000000"/>
              </w:rPr>
            </w:pPr>
            <w:r w:rsidRPr="00755187">
              <w:rPr>
                <w:color w:val="000000"/>
              </w:rPr>
              <w:t>0</w:t>
            </w:r>
          </w:p>
        </w:tc>
      </w:tr>
      <w:tr w:rsidR="00603E87" w:rsidRPr="00755187" w14:paraId="6685B4FD" w14:textId="77777777" w:rsidTr="002714E7">
        <w:trPr>
          <w:cnfStyle w:val="000000100000" w:firstRow="0" w:lastRow="0" w:firstColumn="0" w:lastColumn="0" w:oddVBand="0" w:evenVBand="0" w:oddHBand="1" w:evenHBand="0" w:firstRowFirstColumn="0" w:firstRowLastColumn="0" w:lastRowFirstColumn="0" w:lastRowLastColumn="0"/>
        </w:trPr>
        <w:tc>
          <w:tcPr>
            <w:tcW w:w="1174" w:type="pct"/>
          </w:tcPr>
          <w:p w14:paraId="41416465" w14:textId="77777777" w:rsidR="00603E87" w:rsidRPr="00755187" w:rsidRDefault="00603E87" w:rsidP="00603E87">
            <w:pPr>
              <w:pStyle w:val="TableParagraph"/>
            </w:pPr>
            <w:r w:rsidRPr="00755187">
              <w:t>Mid Essex</w:t>
            </w:r>
          </w:p>
        </w:tc>
        <w:tc>
          <w:tcPr>
            <w:tcW w:w="745" w:type="pct"/>
          </w:tcPr>
          <w:p w14:paraId="04B53EDA" w14:textId="77777777" w:rsidR="00603E87" w:rsidRPr="00755187" w:rsidRDefault="00603E87" w:rsidP="00603E87">
            <w:pPr>
              <w:pStyle w:val="TableParagraph"/>
            </w:pPr>
            <w:r w:rsidRPr="00755187">
              <w:t>0.723</w:t>
            </w:r>
          </w:p>
        </w:tc>
        <w:tc>
          <w:tcPr>
            <w:tcW w:w="745" w:type="pct"/>
          </w:tcPr>
          <w:p w14:paraId="3838E19A" w14:textId="77777777" w:rsidR="00603E87" w:rsidRPr="00755187" w:rsidRDefault="00603E87" w:rsidP="00603E87">
            <w:pPr>
              <w:pStyle w:val="TableParagraph"/>
            </w:pPr>
            <w:r w:rsidRPr="00755187">
              <w:t>0.774</w:t>
            </w:r>
          </w:p>
        </w:tc>
        <w:tc>
          <w:tcPr>
            <w:tcW w:w="745" w:type="pct"/>
          </w:tcPr>
          <w:p w14:paraId="79339175" w14:textId="77777777" w:rsidR="00603E87" w:rsidRPr="00755187" w:rsidRDefault="00603E87" w:rsidP="00603E87">
            <w:pPr>
              <w:pStyle w:val="TableParagraph"/>
            </w:pPr>
            <w:r w:rsidRPr="00755187">
              <w:t>0.051</w:t>
            </w:r>
          </w:p>
        </w:tc>
        <w:tc>
          <w:tcPr>
            <w:tcW w:w="796" w:type="pct"/>
          </w:tcPr>
          <w:p w14:paraId="4A601E67" w14:textId="77777777" w:rsidR="00603E87" w:rsidRPr="00755187" w:rsidRDefault="00603E87" w:rsidP="00603E87">
            <w:pPr>
              <w:pStyle w:val="TableParagraph"/>
              <w:rPr>
                <w:color w:val="000000"/>
              </w:rPr>
            </w:pPr>
            <w:r w:rsidRPr="00755187">
              <w:rPr>
                <w:color w:val="000000"/>
              </w:rPr>
              <w:t>0.306</w:t>
            </w:r>
          </w:p>
        </w:tc>
        <w:tc>
          <w:tcPr>
            <w:tcW w:w="795" w:type="pct"/>
          </w:tcPr>
          <w:p w14:paraId="647B3AA5" w14:textId="77777777" w:rsidR="00603E87" w:rsidRPr="00755187" w:rsidRDefault="00603E87" w:rsidP="00603E87">
            <w:pPr>
              <w:pStyle w:val="TableParagraph"/>
              <w:rPr>
                <w:color w:val="000000"/>
              </w:rPr>
            </w:pPr>
            <w:r w:rsidRPr="00755187">
              <w:rPr>
                <w:color w:val="000000"/>
              </w:rPr>
              <w:t>63.444</w:t>
            </w:r>
          </w:p>
        </w:tc>
      </w:tr>
      <w:tr w:rsidR="00603E87" w:rsidRPr="00755187" w14:paraId="727D9E33" w14:textId="77777777" w:rsidTr="002714E7">
        <w:trPr>
          <w:cnfStyle w:val="000000010000" w:firstRow="0" w:lastRow="0" w:firstColumn="0" w:lastColumn="0" w:oddVBand="0" w:evenVBand="0" w:oddHBand="0" w:evenHBand="1" w:firstRowFirstColumn="0" w:firstRowLastColumn="0" w:lastRowFirstColumn="0" w:lastRowLastColumn="0"/>
        </w:trPr>
        <w:tc>
          <w:tcPr>
            <w:tcW w:w="1174" w:type="pct"/>
          </w:tcPr>
          <w:p w14:paraId="327D4113" w14:textId="77777777" w:rsidR="00603E87" w:rsidRPr="00755187" w:rsidRDefault="00603E87" w:rsidP="00603E87">
            <w:pPr>
              <w:pStyle w:val="TableParagraph"/>
            </w:pPr>
            <w:r w:rsidRPr="00755187">
              <w:t>North East Essex</w:t>
            </w:r>
          </w:p>
        </w:tc>
        <w:tc>
          <w:tcPr>
            <w:tcW w:w="745" w:type="pct"/>
          </w:tcPr>
          <w:p w14:paraId="0A3656B7" w14:textId="77777777" w:rsidR="00603E87" w:rsidRPr="00755187" w:rsidRDefault="00603E87" w:rsidP="00603E87">
            <w:pPr>
              <w:pStyle w:val="TableParagraph"/>
            </w:pPr>
            <w:r w:rsidRPr="00755187">
              <w:t>0.579</w:t>
            </w:r>
          </w:p>
        </w:tc>
        <w:tc>
          <w:tcPr>
            <w:tcW w:w="745" w:type="pct"/>
          </w:tcPr>
          <w:p w14:paraId="61A951AB" w14:textId="77777777" w:rsidR="00603E87" w:rsidRPr="00755187" w:rsidRDefault="00603E87" w:rsidP="00603E87">
            <w:pPr>
              <w:pStyle w:val="TableParagraph"/>
            </w:pPr>
            <w:r w:rsidRPr="00755187">
              <w:t>0.532</w:t>
            </w:r>
          </w:p>
        </w:tc>
        <w:tc>
          <w:tcPr>
            <w:tcW w:w="745" w:type="pct"/>
          </w:tcPr>
          <w:p w14:paraId="37AEE6E3" w14:textId="77777777" w:rsidR="00603E87" w:rsidRPr="00755187" w:rsidRDefault="00603E87" w:rsidP="00603E87">
            <w:pPr>
              <w:pStyle w:val="TableParagraph"/>
            </w:pPr>
            <w:r w:rsidRPr="00755187">
              <w:t>-0.047</w:t>
            </w:r>
          </w:p>
        </w:tc>
        <w:tc>
          <w:tcPr>
            <w:tcW w:w="796" w:type="pct"/>
          </w:tcPr>
          <w:p w14:paraId="4BDC5D2B" w14:textId="77777777" w:rsidR="00603E87" w:rsidRPr="00755187" w:rsidRDefault="00603E87" w:rsidP="00603E87">
            <w:pPr>
              <w:pStyle w:val="TableParagraph"/>
              <w:rPr>
                <w:color w:val="000000"/>
              </w:rPr>
            </w:pPr>
            <w:r w:rsidRPr="00755187">
              <w:rPr>
                <w:color w:val="000000"/>
              </w:rPr>
              <w:t>-0.893</w:t>
            </w:r>
          </w:p>
        </w:tc>
        <w:tc>
          <w:tcPr>
            <w:tcW w:w="795" w:type="pct"/>
          </w:tcPr>
          <w:p w14:paraId="5FEF1821" w14:textId="77777777" w:rsidR="00603E87" w:rsidRPr="00755187" w:rsidRDefault="00603E87" w:rsidP="00603E87">
            <w:pPr>
              <w:pStyle w:val="TableParagraph"/>
              <w:rPr>
                <w:color w:val="000000"/>
              </w:rPr>
            </w:pPr>
            <w:r w:rsidRPr="00755187">
              <w:rPr>
                <w:color w:val="000000"/>
              </w:rPr>
              <w:t>-26.461</w:t>
            </w:r>
          </w:p>
        </w:tc>
      </w:tr>
      <w:tr w:rsidR="00603E87" w:rsidRPr="00755187" w14:paraId="1E44B48B" w14:textId="77777777" w:rsidTr="002714E7">
        <w:trPr>
          <w:cnfStyle w:val="000000100000" w:firstRow="0" w:lastRow="0" w:firstColumn="0" w:lastColumn="0" w:oddVBand="0" w:evenVBand="0" w:oddHBand="1" w:evenHBand="0" w:firstRowFirstColumn="0" w:firstRowLastColumn="0" w:lastRowFirstColumn="0" w:lastRowLastColumn="0"/>
        </w:trPr>
        <w:tc>
          <w:tcPr>
            <w:tcW w:w="1174" w:type="pct"/>
          </w:tcPr>
          <w:p w14:paraId="582B002A" w14:textId="77777777" w:rsidR="00603E87" w:rsidRPr="00755187" w:rsidRDefault="00603E87" w:rsidP="00603E87">
            <w:pPr>
              <w:pStyle w:val="TableParagraph"/>
            </w:pPr>
            <w:r w:rsidRPr="00755187">
              <w:t>West Essex</w:t>
            </w:r>
          </w:p>
        </w:tc>
        <w:tc>
          <w:tcPr>
            <w:tcW w:w="745" w:type="pct"/>
          </w:tcPr>
          <w:p w14:paraId="04B22BFF" w14:textId="77777777" w:rsidR="00603E87" w:rsidRPr="00755187" w:rsidRDefault="00603E87" w:rsidP="00603E87">
            <w:pPr>
              <w:pStyle w:val="TableParagraph"/>
            </w:pPr>
            <w:r w:rsidRPr="00755187">
              <w:t>0.487</w:t>
            </w:r>
          </w:p>
        </w:tc>
        <w:tc>
          <w:tcPr>
            <w:tcW w:w="745" w:type="pct"/>
          </w:tcPr>
          <w:p w14:paraId="424E75DB" w14:textId="77777777" w:rsidR="00603E87" w:rsidRPr="00755187" w:rsidRDefault="00603E87" w:rsidP="00603E87">
            <w:pPr>
              <w:pStyle w:val="TableParagraph"/>
            </w:pPr>
            <w:r w:rsidRPr="00755187">
              <w:t>0.560</w:t>
            </w:r>
          </w:p>
        </w:tc>
        <w:tc>
          <w:tcPr>
            <w:tcW w:w="745" w:type="pct"/>
          </w:tcPr>
          <w:p w14:paraId="570C3071" w14:textId="77777777" w:rsidR="00603E87" w:rsidRPr="00755187" w:rsidRDefault="00603E87" w:rsidP="00603E87">
            <w:pPr>
              <w:pStyle w:val="TableParagraph"/>
            </w:pPr>
            <w:r w:rsidRPr="00755187">
              <w:t>0.073</w:t>
            </w:r>
          </w:p>
        </w:tc>
        <w:tc>
          <w:tcPr>
            <w:tcW w:w="796" w:type="pct"/>
          </w:tcPr>
          <w:p w14:paraId="09AB4FBF" w14:textId="77777777" w:rsidR="00603E87" w:rsidRPr="00755187" w:rsidRDefault="00603E87" w:rsidP="00603E87">
            <w:pPr>
              <w:pStyle w:val="TableParagraph"/>
              <w:rPr>
                <w:color w:val="000000"/>
              </w:rPr>
            </w:pPr>
            <w:r w:rsidRPr="00755187">
              <w:rPr>
                <w:color w:val="000000"/>
              </w:rPr>
              <w:t>1.533</w:t>
            </w:r>
          </w:p>
        </w:tc>
        <w:tc>
          <w:tcPr>
            <w:tcW w:w="795" w:type="pct"/>
          </w:tcPr>
          <w:p w14:paraId="0C1F0D0F" w14:textId="77777777" w:rsidR="00603E87" w:rsidRPr="00755187" w:rsidRDefault="00603E87" w:rsidP="00603E87">
            <w:pPr>
              <w:pStyle w:val="TableParagraph"/>
              <w:rPr>
                <w:color w:val="000000"/>
              </w:rPr>
            </w:pPr>
            <w:r w:rsidRPr="00755187">
              <w:rPr>
                <w:color w:val="000000"/>
              </w:rPr>
              <w:t>0.584</w:t>
            </w:r>
          </w:p>
        </w:tc>
      </w:tr>
    </w:tbl>
    <w:p w14:paraId="4CCF05E6" w14:textId="77777777" w:rsidR="00603E87" w:rsidRPr="00755187" w:rsidRDefault="00603E87" w:rsidP="00AE785D">
      <w:pPr>
        <w:pStyle w:val="BodyText-parastyle"/>
      </w:pPr>
    </w:p>
    <w:p w14:paraId="3D221462" w14:textId="77777777" w:rsidR="00603E87" w:rsidRPr="00755187" w:rsidRDefault="00603E87" w:rsidP="00D465F1">
      <w:pPr>
        <w:pStyle w:val="Heading3"/>
      </w:pPr>
      <w:r w:rsidRPr="00755187">
        <w:t>A cost utility analysis of the Social Prescribing Service</w:t>
      </w:r>
    </w:p>
    <w:p w14:paraId="0E8D68FE" w14:textId="77777777" w:rsidR="00720CC0" w:rsidRPr="00755187" w:rsidRDefault="00603E87" w:rsidP="00AE785D">
      <w:pPr>
        <w:pStyle w:val="BodyText-parastyle"/>
      </w:pPr>
      <w:r w:rsidRPr="00755187">
        <w:t>The NHS values a QALY at between £20,000 and £30,000. This is the threshold for cost-effectiveness recommended by NICE.  Taking the lower threshold value, this means that a £100,000 intervention can be considered cost-effective if it g</w:t>
      </w:r>
      <w:r w:rsidR="00720CC0" w:rsidRPr="00755187">
        <w:t>enerates five additional QALYs.</w:t>
      </w:r>
    </w:p>
    <w:p w14:paraId="2620C161" w14:textId="4BCF7905" w:rsidR="00720CC0" w:rsidRPr="00755187" w:rsidRDefault="00603E87" w:rsidP="00AE785D">
      <w:pPr>
        <w:pStyle w:val="BodyText-parastyle"/>
      </w:pPr>
      <w:r w:rsidRPr="00755187">
        <w:t xml:space="preserve">The HRQL data from the evaluation survey can be used to estimate the overall cost utility of </w:t>
      </w:r>
      <w:r w:rsidR="00D440B4">
        <w:t xml:space="preserve">five </w:t>
      </w:r>
      <w:r w:rsidRPr="00755187">
        <w:t xml:space="preserve">Social Prescribing </w:t>
      </w:r>
      <w:r w:rsidR="00131B94" w:rsidRPr="00755187">
        <w:t>projects</w:t>
      </w:r>
      <w:r w:rsidR="00D440B4">
        <w:t>.</w:t>
      </w:r>
      <w:r w:rsidR="008803B3">
        <w:t xml:space="preserve"> </w:t>
      </w:r>
      <w:r w:rsidRPr="00755187">
        <w:t>This is s</w:t>
      </w:r>
      <w:r w:rsidR="00EE788C" w:rsidRPr="00755187">
        <w:t xml:space="preserve">ummarised in table 8.19 </w:t>
      </w:r>
      <w:r w:rsidRPr="00755187">
        <w:t>below which indicates that</w:t>
      </w:r>
      <w:r w:rsidR="000715B8">
        <w:t xml:space="preserve"> five </w:t>
      </w:r>
      <w:r w:rsidR="00131B94" w:rsidRPr="00755187">
        <w:t>Social Prescribing projects</w:t>
      </w:r>
      <w:r w:rsidRPr="00755187">
        <w:t xml:space="preserve"> in Essex </w:t>
      </w:r>
      <w:r w:rsidR="00131B94" w:rsidRPr="00755187">
        <w:t xml:space="preserve">are </w:t>
      </w:r>
      <w:r w:rsidRPr="00755187">
        <w:t>estimated to have led to an additional 96.56 QALYs at a cost per QALY of £</w:t>
      </w:r>
      <w:r w:rsidR="00F938AF" w:rsidRPr="00F938AF">
        <w:t>7,892.23</w:t>
      </w:r>
      <w:r w:rsidRPr="00755187">
        <w:t>.</w:t>
      </w:r>
    </w:p>
    <w:p w14:paraId="1DF1C59F" w14:textId="1BA7A38C" w:rsidR="00603E87" w:rsidRPr="00755187" w:rsidRDefault="00603E87" w:rsidP="00CD4614">
      <w:pPr>
        <w:pStyle w:val="IntenseQuote"/>
      </w:pPr>
      <w:r w:rsidRPr="00755187">
        <w:t xml:space="preserve">Table </w:t>
      </w:r>
      <w:r w:rsidRPr="00755187">
        <w:fldChar w:fldCharType="begin"/>
      </w:r>
      <w:r w:rsidRPr="00755187">
        <w:instrText xml:space="preserve"> STYLEREF 1 \s </w:instrText>
      </w:r>
      <w:r w:rsidRPr="00755187">
        <w:fldChar w:fldCharType="separate"/>
      </w:r>
      <w:r w:rsidR="00F006C8">
        <w:rPr>
          <w:noProof/>
        </w:rPr>
        <w:t>8</w:t>
      </w:r>
      <w:r w:rsidRPr="00755187">
        <w:fldChar w:fldCharType="end"/>
      </w:r>
      <w:r w:rsidRPr="00755187">
        <w:t>:</w:t>
      </w:r>
      <w:r w:rsidRPr="00755187">
        <w:fldChar w:fldCharType="begin"/>
      </w:r>
      <w:r w:rsidRPr="00755187">
        <w:instrText xml:space="preserve"> SEQ Table \* ARABIC \s 1 </w:instrText>
      </w:r>
      <w:r w:rsidRPr="00755187">
        <w:fldChar w:fldCharType="separate"/>
      </w:r>
      <w:r w:rsidR="00F006C8">
        <w:rPr>
          <w:noProof/>
        </w:rPr>
        <w:t>19</w:t>
      </w:r>
      <w:r w:rsidRPr="00755187">
        <w:fldChar w:fldCharType="end"/>
      </w:r>
      <w:r w:rsidRPr="00755187">
        <w:t>: An overview of the cost utility (cost per QALY) of Social Prescribing</w:t>
      </w:r>
      <w:r w:rsidR="000715B8">
        <w:t xml:space="preserve"> (for five Social Prescribing projects) </w:t>
      </w:r>
    </w:p>
    <w:tbl>
      <w:tblPr>
        <w:tblStyle w:val="ForfasTableGrid1"/>
        <w:tblW w:w="4931" w:type="pct"/>
        <w:tblLayout w:type="fixed"/>
        <w:tblLook w:val="04A0" w:firstRow="1" w:lastRow="0" w:firstColumn="1" w:lastColumn="0" w:noHBand="0" w:noVBand="1"/>
      </w:tblPr>
      <w:tblGrid>
        <w:gridCol w:w="5216"/>
        <w:gridCol w:w="4641"/>
      </w:tblGrid>
      <w:tr w:rsidR="00603E87" w:rsidRPr="00755187" w14:paraId="2A2B1901" w14:textId="77777777" w:rsidTr="00131B94">
        <w:trPr>
          <w:cnfStyle w:val="100000000000" w:firstRow="1" w:lastRow="0" w:firstColumn="0" w:lastColumn="0" w:oddVBand="0" w:evenVBand="0" w:oddHBand="0" w:evenHBand="0" w:firstRowFirstColumn="0" w:firstRowLastColumn="0" w:lastRowFirstColumn="0" w:lastRowLastColumn="0"/>
          <w:trHeight w:val="454"/>
        </w:trPr>
        <w:tc>
          <w:tcPr>
            <w:tcW w:w="2646" w:type="pct"/>
            <w:noWrap/>
          </w:tcPr>
          <w:p w14:paraId="5F3739A7" w14:textId="77777777" w:rsidR="00603E87" w:rsidRPr="00755187" w:rsidRDefault="00603E87" w:rsidP="00603E87">
            <w:pPr>
              <w:pStyle w:val="TableHeading"/>
            </w:pPr>
          </w:p>
        </w:tc>
        <w:tc>
          <w:tcPr>
            <w:tcW w:w="2354" w:type="pct"/>
          </w:tcPr>
          <w:p w14:paraId="64ABB427" w14:textId="77777777" w:rsidR="00603E87" w:rsidRPr="00755187" w:rsidRDefault="00603E87" w:rsidP="00603E87">
            <w:pPr>
              <w:pStyle w:val="TableHeading"/>
            </w:pPr>
            <w:r w:rsidRPr="00755187">
              <w:t>All beneficiaries</w:t>
            </w:r>
          </w:p>
        </w:tc>
      </w:tr>
      <w:tr w:rsidR="004D6BD1" w:rsidRPr="00755187" w14:paraId="7166DA11" w14:textId="77777777" w:rsidTr="004D6BD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noWrap/>
          </w:tcPr>
          <w:p w14:paraId="526B1739" w14:textId="77777777" w:rsidR="004D6BD1" w:rsidRPr="00755187" w:rsidRDefault="004D6BD1" w:rsidP="00603E87">
            <w:pPr>
              <w:pStyle w:val="TableParagraph"/>
              <w:rPr>
                <w:b/>
              </w:rPr>
            </w:pPr>
            <w:r w:rsidRPr="00755187">
              <w:rPr>
                <w:b/>
              </w:rPr>
              <w:t>Inputs</w:t>
            </w:r>
          </w:p>
        </w:tc>
      </w:tr>
      <w:tr w:rsidR="00BC206D" w:rsidRPr="00755187" w14:paraId="52BF411D" w14:textId="77777777" w:rsidTr="00131B94">
        <w:trPr>
          <w:cnfStyle w:val="000000010000" w:firstRow="0" w:lastRow="0" w:firstColumn="0" w:lastColumn="0" w:oddVBand="0" w:evenVBand="0" w:oddHBand="0" w:evenHBand="1" w:firstRowFirstColumn="0" w:firstRowLastColumn="0" w:lastRowFirstColumn="0" w:lastRowLastColumn="0"/>
          <w:trHeight w:val="454"/>
        </w:trPr>
        <w:tc>
          <w:tcPr>
            <w:tcW w:w="2646" w:type="pct"/>
            <w:noWrap/>
            <w:hideMark/>
          </w:tcPr>
          <w:p w14:paraId="11C8C1C1" w14:textId="77777777" w:rsidR="00BC206D" w:rsidRPr="00755187" w:rsidRDefault="00BC206D" w:rsidP="00BC206D">
            <w:pPr>
              <w:pStyle w:val="TableParagraph"/>
              <w:rPr>
                <w:i/>
              </w:rPr>
            </w:pPr>
            <w:r w:rsidRPr="00755187">
              <w:t>Total annual Social Prescribing expenditure</w:t>
            </w:r>
          </w:p>
        </w:tc>
        <w:tc>
          <w:tcPr>
            <w:tcW w:w="2354" w:type="pct"/>
          </w:tcPr>
          <w:p w14:paraId="5DBDBB17" w14:textId="69D17A4B" w:rsidR="00BC206D" w:rsidRPr="00755187" w:rsidRDefault="00BC206D" w:rsidP="00BC206D">
            <w:pPr>
              <w:pStyle w:val="TableParagraph"/>
            </w:pPr>
            <w:r w:rsidRPr="00046C6F">
              <w:t xml:space="preserve">£762,074 </w:t>
            </w:r>
          </w:p>
        </w:tc>
      </w:tr>
      <w:tr w:rsidR="00BC206D" w:rsidRPr="00755187" w14:paraId="00EB3399" w14:textId="77777777" w:rsidTr="00131B94">
        <w:trPr>
          <w:cnfStyle w:val="000000100000" w:firstRow="0" w:lastRow="0" w:firstColumn="0" w:lastColumn="0" w:oddVBand="0" w:evenVBand="0" w:oddHBand="1" w:evenHBand="0" w:firstRowFirstColumn="0" w:firstRowLastColumn="0" w:lastRowFirstColumn="0" w:lastRowLastColumn="0"/>
          <w:trHeight w:val="454"/>
        </w:trPr>
        <w:tc>
          <w:tcPr>
            <w:tcW w:w="2646" w:type="pct"/>
            <w:noWrap/>
            <w:hideMark/>
          </w:tcPr>
          <w:p w14:paraId="0E31D49F" w14:textId="77777777" w:rsidR="00BC206D" w:rsidRPr="00755187" w:rsidRDefault="00BC206D" w:rsidP="00BC206D">
            <w:pPr>
              <w:pStyle w:val="TableParagraph"/>
            </w:pPr>
            <w:r w:rsidRPr="00755187">
              <w:t>Total no of beneficiaries*</w:t>
            </w:r>
          </w:p>
        </w:tc>
        <w:tc>
          <w:tcPr>
            <w:tcW w:w="2354" w:type="pct"/>
          </w:tcPr>
          <w:p w14:paraId="28B69E7F" w14:textId="244D7FA4" w:rsidR="00BC206D" w:rsidRPr="00755187" w:rsidRDefault="00BC206D" w:rsidP="00BC206D">
            <w:pPr>
              <w:pStyle w:val="TableParagraph"/>
            </w:pPr>
            <w:r w:rsidRPr="00046C6F">
              <w:t>2,487</w:t>
            </w:r>
          </w:p>
        </w:tc>
      </w:tr>
      <w:tr w:rsidR="00BC206D" w:rsidRPr="00755187" w14:paraId="34F9C7CC" w14:textId="77777777" w:rsidTr="00131B94">
        <w:trPr>
          <w:cnfStyle w:val="000000010000" w:firstRow="0" w:lastRow="0" w:firstColumn="0" w:lastColumn="0" w:oddVBand="0" w:evenVBand="0" w:oddHBand="0" w:evenHBand="1" w:firstRowFirstColumn="0" w:firstRowLastColumn="0" w:lastRowFirstColumn="0" w:lastRowLastColumn="0"/>
          <w:trHeight w:val="454"/>
        </w:trPr>
        <w:tc>
          <w:tcPr>
            <w:tcW w:w="2646" w:type="pct"/>
            <w:noWrap/>
          </w:tcPr>
          <w:p w14:paraId="5A2736AB" w14:textId="77777777" w:rsidR="00BC206D" w:rsidRPr="00755187" w:rsidRDefault="00BC206D" w:rsidP="00BC206D">
            <w:pPr>
              <w:pStyle w:val="TableParagraph"/>
            </w:pPr>
            <w:r w:rsidRPr="00755187">
              <w:t>Expenditure per beneficiary*</w:t>
            </w:r>
          </w:p>
        </w:tc>
        <w:tc>
          <w:tcPr>
            <w:tcW w:w="2354" w:type="pct"/>
          </w:tcPr>
          <w:p w14:paraId="2D691FE8" w14:textId="4C267BBD" w:rsidR="00BC206D" w:rsidRPr="00755187" w:rsidRDefault="00BC206D" w:rsidP="00BC206D">
            <w:pPr>
              <w:pStyle w:val="TableParagraph"/>
            </w:pPr>
            <w:r w:rsidRPr="00046C6F">
              <w:t>£306.42</w:t>
            </w:r>
          </w:p>
        </w:tc>
      </w:tr>
      <w:tr w:rsidR="004D6BD1" w:rsidRPr="00755187" w14:paraId="6163622B" w14:textId="77777777" w:rsidTr="004D6BD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2"/>
            <w:noWrap/>
          </w:tcPr>
          <w:p w14:paraId="6D729FA5" w14:textId="77777777" w:rsidR="004D6BD1" w:rsidRPr="00755187" w:rsidRDefault="004D6BD1" w:rsidP="00603E87">
            <w:pPr>
              <w:pStyle w:val="TableParagraph"/>
              <w:rPr>
                <w:b/>
              </w:rPr>
            </w:pPr>
            <w:r w:rsidRPr="00755187">
              <w:rPr>
                <w:b/>
              </w:rPr>
              <w:t>Outcomes</w:t>
            </w:r>
          </w:p>
        </w:tc>
      </w:tr>
      <w:tr w:rsidR="00BC206D" w:rsidRPr="00755187" w14:paraId="23583638" w14:textId="77777777" w:rsidTr="00131B94">
        <w:trPr>
          <w:cnfStyle w:val="000000010000" w:firstRow="0" w:lastRow="0" w:firstColumn="0" w:lastColumn="0" w:oddVBand="0" w:evenVBand="0" w:oddHBand="0" w:evenHBand="1" w:firstRowFirstColumn="0" w:firstRowLastColumn="0" w:lastRowFirstColumn="0" w:lastRowLastColumn="0"/>
          <w:trHeight w:val="454"/>
        </w:trPr>
        <w:tc>
          <w:tcPr>
            <w:tcW w:w="2646" w:type="pct"/>
            <w:noWrap/>
            <w:hideMark/>
          </w:tcPr>
          <w:p w14:paraId="3CB9F4BF" w14:textId="77777777" w:rsidR="00BC206D" w:rsidRPr="00755187" w:rsidRDefault="00BC206D" w:rsidP="00BC206D">
            <w:pPr>
              <w:pStyle w:val="TableParagraph"/>
            </w:pPr>
            <w:r w:rsidRPr="00755187">
              <w:t>Est total additional QALYs</w:t>
            </w:r>
          </w:p>
        </w:tc>
        <w:tc>
          <w:tcPr>
            <w:tcW w:w="2354" w:type="pct"/>
          </w:tcPr>
          <w:p w14:paraId="44EF1728" w14:textId="7B65CE3C" w:rsidR="00BC206D" w:rsidRPr="00755187" w:rsidRDefault="00BC206D" w:rsidP="00BC206D">
            <w:pPr>
              <w:pStyle w:val="TableParagraph"/>
            </w:pPr>
            <w:r>
              <w:t>96.56**</w:t>
            </w:r>
          </w:p>
        </w:tc>
      </w:tr>
      <w:tr w:rsidR="00BC206D" w:rsidRPr="00755187" w14:paraId="37A95C29" w14:textId="77777777" w:rsidTr="00131B94">
        <w:trPr>
          <w:cnfStyle w:val="000000100000" w:firstRow="0" w:lastRow="0" w:firstColumn="0" w:lastColumn="0" w:oddVBand="0" w:evenVBand="0" w:oddHBand="1" w:evenHBand="0" w:firstRowFirstColumn="0" w:firstRowLastColumn="0" w:lastRowFirstColumn="0" w:lastRowLastColumn="0"/>
          <w:trHeight w:val="454"/>
        </w:trPr>
        <w:tc>
          <w:tcPr>
            <w:tcW w:w="2646" w:type="pct"/>
            <w:noWrap/>
            <w:hideMark/>
          </w:tcPr>
          <w:p w14:paraId="0A24D046" w14:textId="77777777" w:rsidR="00BC206D" w:rsidRPr="00755187" w:rsidRDefault="00BC206D" w:rsidP="00BC206D">
            <w:pPr>
              <w:pStyle w:val="TableParagraph"/>
              <w:rPr>
                <w:i/>
              </w:rPr>
            </w:pPr>
            <w:r w:rsidRPr="00755187">
              <w:t>Est cost per QALY</w:t>
            </w:r>
          </w:p>
        </w:tc>
        <w:tc>
          <w:tcPr>
            <w:tcW w:w="2354" w:type="pct"/>
          </w:tcPr>
          <w:p w14:paraId="4156BD4F" w14:textId="0BA5C611" w:rsidR="00BC206D" w:rsidRPr="00755187" w:rsidRDefault="00BC206D" w:rsidP="00BC206D">
            <w:pPr>
              <w:pStyle w:val="TableParagraph"/>
            </w:pPr>
            <w:r>
              <w:t>£7,892.23</w:t>
            </w:r>
          </w:p>
        </w:tc>
      </w:tr>
    </w:tbl>
    <w:p w14:paraId="77417046" w14:textId="1839F52B" w:rsidR="00603E87" w:rsidRPr="00755187" w:rsidRDefault="00603E87" w:rsidP="00603E87">
      <w:pPr>
        <w:pStyle w:val="Quote"/>
        <w:spacing w:after="0"/>
      </w:pPr>
      <w:r w:rsidRPr="00755187">
        <w:t>*Refers to the number of 'substantive engagements'</w:t>
      </w:r>
      <w:r w:rsidR="007076C3">
        <w:t xml:space="preserve"> for the five Social Prescribing projects that were included in the service user survey </w:t>
      </w:r>
    </w:p>
    <w:p w14:paraId="247D3667" w14:textId="77777777" w:rsidR="00603E87" w:rsidRPr="00755187" w:rsidRDefault="00603E87" w:rsidP="00603E87">
      <w:pPr>
        <w:pStyle w:val="Quote"/>
        <w:spacing w:after="0"/>
      </w:pPr>
      <w:r w:rsidRPr="00755187">
        <w:t>**This figure is weighted at a project level to reflect the change in mean HRQL and the actual number of beneficiaries per project</w:t>
      </w:r>
    </w:p>
    <w:p w14:paraId="729CC264" w14:textId="1365C99C" w:rsidR="00603E87" w:rsidRPr="00755187" w:rsidRDefault="00603E87" w:rsidP="00AE785D">
      <w:pPr>
        <w:pStyle w:val="BodyText-parastyle"/>
        <w:rPr>
          <w:rFonts w:eastAsiaTheme="minorEastAsia"/>
        </w:rPr>
      </w:pPr>
      <w:r w:rsidRPr="00755187">
        <w:rPr>
          <w:rFonts w:eastAsiaTheme="minorEastAsia"/>
        </w:rPr>
        <w:t xml:space="preserve">If the estimated total QALY gained across the </w:t>
      </w:r>
      <w:r w:rsidR="00D440B4">
        <w:rPr>
          <w:rFonts w:eastAsiaTheme="minorEastAsia"/>
        </w:rPr>
        <w:t xml:space="preserve">five </w:t>
      </w:r>
      <w:r w:rsidR="00131B94" w:rsidRPr="00755187">
        <w:rPr>
          <w:rFonts w:eastAsiaTheme="minorEastAsia"/>
        </w:rPr>
        <w:t xml:space="preserve">Social Prescribing </w:t>
      </w:r>
      <w:r w:rsidRPr="00755187">
        <w:rPr>
          <w:rFonts w:eastAsiaTheme="minorEastAsia"/>
        </w:rPr>
        <w:t xml:space="preserve">projects is converted into a monetary value using the lower NHS threshold of £20,000, then </w:t>
      </w:r>
      <w:r w:rsidRPr="00755187">
        <w:rPr>
          <w:rFonts w:eastAsiaTheme="minorEastAsia"/>
          <w:b/>
        </w:rPr>
        <w:t xml:space="preserve">the value of the benefits gained amounts to £1.93 million. </w:t>
      </w:r>
      <w:r w:rsidRPr="00755187">
        <w:rPr>
          <w:rFonts w:eastAsiaTheme="minorEastAsia"/>
        </w:rPr>
        <w:t xml:space="preserve">This means that </w:t>
      </w:r>
      <w:r w:rsidRPr="00755187">
        <w:rPr>
          <w:rFonts w:eastAsiaTheme="minorEastAsia"/>
          <w:b/>
        </w:rPr>
        <w:t>for every £1 of the £</w:t>
      </w:r>
      <w:r w:rsidR="00BC206D" w:rsidRPr="00BC206D">
        <w:rPr>
          <w:rFonts w:eastAsiaTheme="minorEastAsia"/>
          <w:b/>
        </w:rPr>
        <w:t>762,074</w:t>
      </w:r>
      <w:r w:rsidR="000715B8">
        <w:rPr>
          <w:rStyle w:val="FootnoteReference"/>
          <w:rFonts w:eastAsiaTheme="minorEastAsia"/>
          <w:b/>
        </w:rPr>
        <w:footnoteReference w:id="108"/>
      </w:r>
      <w:r w:rsidR="00BC206D" w:rsidRPr="00BC206D">
        <w:rPr>
          <w:rFonts w:eastAsiaTheme="minorEastAsia"/>
          <w:b/>
        </w:rPr>
        <w:t xml:space="preserve"> </w:t>
      </w:r>
      <w:r w:rsidRPr="00755187">
        <w:rPr>
          <w:rFonts w:eastAsiaTheme="minorEastAsia"/>
        </w:rPr>
        <w:t xml:space="preserve">spent supporting vulnerable people, </w:t>
      </w:r>
      <w:r w:rsidR="00131B94" w:rsidRPr="00755187">
        <w:rPr>
          <w:rFonts w:eastAsiaTheme="minorEastAsia"/>
        </w:rPr>
        <w:t xml:space="preserve">the Social Prescribing projects </w:t>
      </w:r>
      <w:r w:rsidRPr="00755187">
        <w:rPr>
          <w:rFonts w:eastAsiaTheme="minorEastAsia"/>
        </w:rPr>
        <w:t xml:space="preserve">produced </w:t>
      </w:r>
      <w:r w:rsidRPr="00755187">
        <w:rPr>
          <w:rFonts w:eastAsiaTheme="minorEastAsia"/>
          <w:b/>
        </w:rPr>
        <w:t>£</w:t>
      </w:r>
      <w:r w:rsidR="007200D4">
        <w:rPr>
          <w:rFonts w:eastAsiaTheme="minorEastAsia"/>
          <w:b/>
        </w:rPr>
        <w:t>2.53</w:t>
      </w:r>
      <w:r w:rsidRPr="00755187">
        <w:rPr>
          <w:rFonts w:eastAsiaTheme="minorEastAsia"/>
          <w:b/>
        </w:rPr>
        <w:t xml:space="preserve"> of benefits </w:t>
      </w:r>
      <w:r w:rsidRPr="00755187">
        <w:rPr>
          <w:rFonts w:eastAsiaTheme="minorEastAsia"/>
        </w:rPr>
        <w:t xml:space="preserve">in terms of better health.  </w:t>
      </w:r>
    </w:p>
    <w:p w14:paraId="02DA6048" w14:textId="51E1FAC5" w:rsidR="00603E87" w:rsidRDefault="0091520F" w:rsidP="00AE785D">
      <w:pPr>
        <w:pStyle w:val="BodyText-parastyle"/>
      </w:pPr>
      <w:r w:rsidRPr="00755187">
        <w:rPr>
          <w:rFonts w:eastAsiaTheme="minorEastAsia"/>
        </w:rPr>
        <w:t>Therefore</w:t>
      </w:r>
      <w:r w:rsidR="00603E87" w:rsidRPr="00755187">
        <w:rPr>
          <w:rFonts w:eastAsiaTheme="minorEastAsia"/>
        </w:rPr>
        <w:t xml:space="preserve"> Social Prescribing</w:t>
      </w:r>
      <w:r w:rsidRPr="00755187">
        <w:rPr>
          <w:rFonts w:eastAsiaTheme="minorEastAsia"/>
        </w:rPr>
        <w:t xml:space="preserve"> in Essex</w:t>
      </w:r>
      <w:r w:rsidR="00603E87" w:rsidRPr="00755187">
        <w:rPr>
          <w:rFonts w:eastAsiaTheme="minorEastAsia"/>
        </w:rPr>
        <w:t xml:space="preserve"> </w:t>
      </w:r>
      <w:r w:rsidR="00603E87" w:rsidRPr="00755187">
        <w:rPr>
          <w:rFonts w:eastAsiaTheme="minorEastAsia"/>
          <w:b/>
        </w:rPr>
        <w:t>appears to be a cost-effective intervention</w:t>
      </w:r>
      <w:r w:rsidR="00603E87" w:rsidRPr="00755187">
        <w:rPr>
          <w:rFonts w:eastAsiaTheme="minorEastAsia"/>
        </w:rPr>
        <w:t xml:space="preserve"> when the cost per QALY of £</w:t>
      </w:r>
      <w:r w:rsidR="00F938AF" w:rsidRPr="00F938AF">
        <w:rPr>
          <w:rFonts w:eastAsiaTheme="minorEastAsia"/>
        </w:rPr>
        <w:t>7,892.23</w:t>
      </w:r>
      <w:r w:rsidR="00826E8C">
        <w:rPr>
          <w:rFonts w:eastAsiaTheme="minorEastAsia"/>
        </w:rPr>
        <w:t xml:space="preserve"> </w:t>
      </w:r>
      <w:r w:rsidR="00603E87" w:rsidRPr="00755187">
        <w:rPr>
          <w:rFonts w:eastAsiaTheme="minorEastAsia"/>
        </w:rPr>
        <w:t>is compared to the NICE threshold of £20,000. However, in interpreting these findings it is important to recognise that data only provide</w:t>
      </w:r>
      <w:r w:rsidR="00131B94" w:rsidRPr="00755187">
        <w:rPr>
          <w:rFonts w:eastAsiaTheme="minorEastAsia"/>
        </w:rPr>
        <w:t>s</w:t>
      </w:r>
      <w:r w:rsidR="00603E87" w:rsidRPr="00755187">
        <w:rPr>
          <w:rFonts w:eastAsiaTheme="minorEastAsia"/>
        </w:rPr>
        <w:t xml:space="preserve"> an indication of short term benefits. The changes in HRQL were measured after </w:t>
      </w:r>
      <w:r w:rsidR="00131B94" w:rsidRPr="00755187">
        <w:rPr>
          <w:rFonts w:eastAsiaTheme="minorEastAsia"/>
        </w:rPr>
        <w:t>approximately</w:t>
      </w:r>
      <w:r w:rsidR="00603E87" w:rsidRPr="00755187">
        <w:rPr>
          <w:rFonts w:eastAsiaTheme="minorEastAsia"/>
        </w:rPr>
        <w:t xml:space="preserve"> </w:t>
      </w:r>
      <w:r w:rsidR="00131B94" w:rsidRPr="00755187">
        <w:rPr>
          <w:rFonts w:eastAsiaTheme="minorEastAsia"/>
        </w:rPr>
        <w:t>three</w:t>
      </w:r>
      <w:r w:rsidR="00603E87" w:rsidRPr="00755187">
        <w:rPr>
          <w:rFonts w:eastAsiaTheme="minorEastAsia"/>
        </w:rPr>
        <w:t xml:space="preserve"> months following first engagement with </w:t>
      </w:r>
      <w:r w:rsidR="00131B94" w:rsidRPr="00755187">
        <w:rPr>
          <w:rFonts w:eastAsiaTheme="minorEastAsia"/>
        </w:rPr>
        <w:t>Social Pre</w:t>
      </w:r>
      <w:r w:rsidR="00603E87" w:rsidRPr="00755187">
        <w:rPr>
          <w:rFonts w:eastAsiaTheme="minorEastAsia"/>
        </w:rPr>
        <w:t xml:space="preserve">scribing and </w:t>
      </w:r>
      <w:r w:rsidR="000D1FF8" w:rsidRPr="00755187">
        <w:rPr>
          <w:rFonts w:eastAsiaTheme="minorEastAsia"/>
        </w:rPr>
        <w:t>as such</w:t>
      </w:r>
      <w:r w:rsidR="00603E87" w:rsidRPr="00755187">
        <w:rPr>
          <w:rFonts w:eastAsiaTheme="minorEastAsia"/>
        </w:rPr>
        <w:t xml:space="preserve"> </w:t>
      </w:r>
      <w:r w:rsidR="00131B94" w:rsidRPr="00755187">
        <w:rPr>
          <w:rFonts w:eastAsiaTheme="minorEastAsia"/>
        </w:rPr>
        <w:t xml:space="preserve">it is not possible to </w:t>
      </w:r>
      <w:r w:rsidR="000D1FF8" w:rsidRPr="00755187">
        <w:rPr>
          <w:rFonts w:eastAsiaTheme="minorEastAsia"/>
        </w:rPr>
        <w:t xml:space="preserve">conclude on </w:t>
      </w:r>
      <w:r w:rsidR="00603E87" w:rsidRPr="00755187">
        <w:rPr>
          <w:rFonts w:eastAsiaTheme="minorEastAsia"/>
        </w:rPr>
        <w:t xml:space="preserve">the extent to which these changes have been sustained over a longer period (i.e. 12 months or </w:t>
      </w:r>
      <w:r w:rsidR="000D1FF8" w:rsidRPr="00755187">
        <w:rPr>
          <w:rFonts w:eastAsiaTheme="minorEastAsia"/>
        </w:rPr>
        <w:t>more</w:t>
      </w:r>
      <w:r w:rsidR="00603E87" w:rsidRPr="00755187">
        <w:rPr>
          <w:rFonts w:eastAsiaTheme="minorEastAsia"/>
        </w:rPr>
        <w:t>), or how much of the change is due to a</w:t>
      </w:r>
      <w:r w:rsidR="000D1FF8" w:rsidRPr="00755187">
        <w:rPr>
          <w:rFonts w:eastAsiaTheme="minorEastAsia"/>
        </w:rPr>
        <w:t xml:space="preserve"> Social Prescribing </w:t>
      </w:r>
      <w:r w:rsidR="00603E87" w:rsidRPr="00755187">
        <w:rPr>
          <w:rFonts w:eastAsiaTheme="minorEastAsia"/>
        </w:rPr>
        <w:t>'effect' or a combination of wider social and physical factors.</w:t>
      </w:r>
    </w:p>
    <w:p w14:paraId="0EAC57A4" w14:textId="64ACB95F" w:rsidR="0083508C" w:rsidRDefault="0083508C" w:rsidP="005E4CA1">
      <w:pPr>
        <w:pStyle w:val="Heading2"/>
      </w:pPr>
      <w:bookmarkStart w:id="70" w:name="_Toc497934296"/>
      <w:r>
        <w:t>Return on Investment</w:t>
      </w:r>
      <w:bookmarkEnd w:id="70"/>
      <w:r>
        <w:t xml:space="preserve"> </w:t>
      </w:r>
    </w:p>
    <w:p w14:paraId="04AAEBE0" w14:textId="77777777" w:rsidR="0083508C" w:rsidRDefault="0083508C" w:rsidP="00AE785D">
      <w:pPr>
        <w:pStyle w:val="BodyText-parastyle"/>
      </w:pPr>
      <w:r w:rsidRPr="00C77CB0">
        <w:t>The</w:t>
      </w:r>
      <w:r>
        <w:t xml:space="preserve"> cost avoided </w:t>
      </w:r>
      <w:r w:rsidRPr="00C77CB0">
        <w:t xml:space="preserve">values </w:t>
      </w:r>
      <w:r>
        <w:t xml:space="preserve">for primary and secondary care </w:t>
      </w:r>
      <w:r w:rsidRPr="00C77CB0">
        <w:t xml:space="preserve">can be compared with the costs of delivering </w:t>
      </w:r>
      <w:r w:rsidR="00633E04">
        <w:t>the Social Prescribing projects</w:t>
      </w:r>
      <w:r>
        <w:t xml:space="preserve"> </w:t>
      </w:r>
      <w:r w:rsidRPr="00C77CB0">
        <w:t xml:space="preserve">to provide an estimate of the return on investment provided. </w:t>
      </w:r>
    </w:p>
    <w:p w14:paraId="2C27AAD2" w14:textId="77777777" w:rsidR="00404AF1" w:rsidRPr="00C77CB0" w:rsidRDefault="00404AF1" w:rsidP="00AE785D">
      <w:pPr>
        <w:pStyle w:val="BodyText-parastyle"/>
      </w:pPr>
      <w:r w:rsidRPr="00170B6B">
        <w:rPr>
          <w:b/>
        </w:rPr>
        <w:t>Note</w:t>
      </w:r>
      <w:r>
        <w:t xml:space="preserve"> – input costs relate to the cost of </w:t>
      </w:r>
      <w:r w:rsidR="006A6086">
        <w:t>supporting the 136 service users from the survey cohort only.</w:t>
      </w:r>
      <w:r w:rsidR="006A6086">
        <w:rPr>
          <w:rStyle w:val="FootnoteReference"/>
        </w:rPr>
        <w:footnoteReference w:id="109"/>
      </w:r>
    </w:p>
    <w:p w14:paraId="08D107D8" w14:textId="520C48A3" w:rsidR="0083508C" w:rsidRPr="00C721C8" w:rsidRDefault="0083508C" w:rsidP="00CD4614">
      <w:pPr>
        <w:pStyle w:val="IntenseQuote"/>
      </w:pPr>
      <w:r w:rsidRPr="00C721C8">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20</w:t>
      </w:r>
      <w:r w:rsidR="00603E87">
        <w:fldChar w:fldCharType="end"/>
      </w:r>
      <w:r w:rsidRPr="00C721C8">
        <w:t>: Estimated return on investment</w:t>
      </w:r>
      <w:r w:rsidR="00C371E8">
        <w:t xml:space="preserve"> </w:t>
      </w:r>
      <w:r>
        <w:t xml:space="preserve">– set up and business as usual costs </w:t>
      </w:r>
    </w:p>
    <w:tbl>
      <w:tblPr>
        <w:tblStyle w:val="TableGrid"/>
        <w:tblW w:w="0" w:type="auto"/>
        <w:tblLook w:val="04A0" w:firstRow="1" w:lastRow="0" w:firstColumn="1" w:lastColumn="0" w:noHBand="0" w:noVBand="1"/>
      </w:tblPr>
      <w:tblGrid>
        <w:gridCol w:w="3211"/>
        <w:gridCol w:w="3211"/>
        <w:gridCol w:w="3212"/>
      </w:tblGrid>
      <w:tr w:rsidR="0083508C" w:rsidRPr="00C721C8" w14:paraId="5FB50C1F" w14:textId="77777777" w:rsidTr="00C371E8">
        <w:trPr>
          <w:cnfStyle w:val="100000000000" w:firstRow="1" w:lastRow="0" w:firstColumn="0" w:lastColumn="0" w:oddVBand="0" w:evenVBand="0" w:oddHBand="0" w:evenHBand="0" w:firstRowFirstColumn="0" w:firstRowLastColumn="0" w:lastRowFirstColumn="0" w:lastRowLastColumn="0"/>
        </w:trPr>
        <w:tc>
          <w:tcPr>
            <w:tcW w:w="3211" w:type="dxa"/>
          </w:tcPr>
          <w:p w14:paraId="56269CDE" w14:textId="77777777" w:rsidR="0083508C" w:rsidRPr="00C721C8" w:rsidRDefault="0083508C" w:rsidP="00A9450E">
            <w:pPr>
              <w:pStyle w:val="TableHeading"/>
            </w:pPr>
            <w:r w:rsidRPr="00C721C8">
              <w:t>Input Costs</w:t>
            </w:r>
            <w:r>
              <w:t xml:space="preserve"> (set up and business as usual)</w:t>
            </w:r>
          </w:p>
        </w:tc>
        <w:tc>
          <w:tcPr>
            <w:tcW w:w="3211" w:type="dxa"/>
          </w:tcPr>
          <w:p w14:paraId="225CE1B8" w14:textId="77777777" w:rsidR="0083508C" w:rsidRPr="00C721C8" w:rsidRDefault="0083508C" w:rsidP="00F01BE0">
            <w:pPr>
              <w:pStyle w:val="TableHeading"/>
            </w:pPr>
            <w:r w:rsidRPr="00C721C8">
              <w:t>Benefits (primary, secondary and social care)</w:t>
            </w:r>
          </w:p>
        </w:tc>
        <w:tc>
          <w:tcPr>
            <w:tcW w:w="3212" w:type="dxa"/>
          </w:tcPr>
          <w:p w14:paraId="604C06FD" w14:textId="77777777" w:rsidR="0083508C" w:rsidRPr="00C721C8" w:rsidRDefault="0083508C" w:rsidP="00F01BE0">
            <w:pPr>
              <w:pStyle w:val="TableHeading"/>
            </w:pPr>
            <w:r w:rsidRPr="00C721C8">
              <w:t>ROI</w:t>
            </w:r>
          </w:p>
        </w:tc>
      </w:tr>
      <w:tr w:rsidR="0083508C" w:rsidRPr="00C721C8" w14:paraId="457A0E56" w14:textId="77777777" w:rsidTr="00C371E8">
        <w:trPr>
          <w:cnfStyle w:val="000000100000" w:firstRow="0" w:lastRow="0" w:firstColumn="0" w:lastColumn="0" w:oddVBand="0" w:evenVBand="0" w:oddHBand="1" w:evenHBand="0" w:firstRowFirstColumn="0" w:firstRowLastColumn="0" w:lastRowFirstColumn="0" w:lastRowLastColumn="0"/>
        </w:trPr>
        <w:tc>
          <w:tcPr>
            <w:tcW w:w="3211" w:type="dxa"/>
            <w:vAlign w:val="center"/>
          </w:tcPr>
          <w:p w14:paraId="3F9EF6E6" w14:textId="2E24D2EF" w:rsidR="0083508C" w:rsidRPr="00C721C8" w:rsidRDefault="00D04CDD" w:rsidP="00F01BE0">
            <w:pPr>
              <w:pStyle w:val="TableParagraph"/>
              <w:jc w:val="right"/>
            </w:pPr>
            <w:r w:rsidRPr="00D04CDD">
              <w:t>£41,452</w:t>
            </w:r>
          </w:p>
        </w:tc>
        <w:tc>
          <w:tcPr>
            <w:tcW w:w="3211" w:type="dxa"/>
            <w:vAlign w:val="center"/>
          </w:tcPr>
          <w:p w14:paraId="5072B623" w14:textId="77777777" w:rsidR="0083508C" w:rsidRPr="00C721C8" w:rsidRDefault="00633E04" w:rsidP="00F01BE0">
            <w:pPr>
              <w:pStyle w:val="TableParagraph"/>
              <w:jc w:val="right"/>
            </w:pPr>
            <w:r w:rsidRPr="00633E04">
              <w:t>-£39,726</w:t>
            </w:r>
          </w:p>
        </w:tc>
        <w:tc>
          <w:tcPr>
            <w:tcW w:w="3212" w:type="dxa"/>
            <w:vAlign w:val="center"/>
          </w:tcPr>
          <w:p w14:paraId="5BC23BB9" w14:textId="77777777" w:rsidR="0083508C" w:rsidRPr="00C721C8" w:rsidRDefault="006A6086" w:rsidP="00F01BE0">
            <w:pPr>
              <w:pStyle w:val="TableParagraph"/>
              <w:jc w:val="right"/>
            </w:pPr>
            <w:r>
              <w:t>-0.96</w:t>
            </w:r>
          </w:p>
        </w:tc>
      </w:tr>
    </w:tbl>
    <w:p w14:paraId="7684C2D2" w14:textId="3682ABA7" w:rsidR="0083508C" w:rsidRPr="00C721C8" w:rsidRDefault="0083508C" w:rsidP="00CD4614">
      <w:pPr>
        <w:pStyle w:val="IntenseQuote"/>
      </w:pPr>
      <w:r w:rsidRPr="00C721C8">
        <w:t xml:space="preserve">Table </w:t>
      </w:r>
      <w:r w:rsidR="00603E87">
        <w:fldChar w:fldCharType="begin"/>
      </w:r>
      <w:r w:rsidR="00603E87">
        <w:instrText xml:space="preserve"> STYLEREF 1 \s </w:instrText>
      </w:r>
      <w:r w:rsidR="00603E87">
        <w:fldChar w:fldCharType="separate"/>
      </w:r>
      <w:r w:rsidR="00F006C8">
        <w:rPr>
          <w:noProof/>
        </w:rPr>
        <w:t>8</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21</w:t>
      </w:r>
      <w:r w:rsidR="00603E87">
        <w:fldChar w:fldCharType="end"/>
      </w:r>
      <w:r w:rsidRPr="00C721C8">
        <w:t xml:space="preserve">: Estimated </w:t>
      </w:r>
      <w:r w:rsidR="0072425E">
        <w:t>return on investment</w:t>
      </w:r>
      <w:r w:rsidR="00C371E8">
        <w:t xml:space="preserve"> </w:t>
      </w:r>
      <w:r>
        <w:t>–</w:t>
      </w:r>
      <w:r w:rsidR="0072425E">
        <w:t xml:space="preserve"> </w:t>
      </w:r>
      <w:r>
        <w:t xml:space="preserve">business as usual costs only </w:t>
      </w:r>
    </w:p>
    <w:tbl>
      <w:tblPr>
        <w:tblStyle w:val="TableGrid"/>
        <w:tblW w:w="0" w:type="auto"/>
        <w:tblLook w:val="04A0" w:firstRow="1" w:lastRow="0" w:firstColumn="1" w:lastColumn="0" w:noHBand="0" w:noVBand="1"/>
      </w:tblPr>
      <w:tblGrid>
        <w:gridCol w:w="3211"/>
        <w:gridCol w:w="3211"/>
        <w:gridCol w:w="3212"/>
      </w:tblGrid>
      <w:tr w:rsidR="0083508C" w:rsidRPr="00C721C8" w14:paraId="08C1F0AA" w14:textId="77777777" w:rsidTr="00C371E8">
        <w:trPr>
          <w:cnfStyle w:val="100000000000" w:firstRow="1" w:lastRow="0" w:firstColumn="0" w:lastColumn="0" w:oddVBand="0" w:evenVBand="0" w:oddHBand="0" w:evenHBand="0" w:firstRowFirstColumn="0" w:firstRowLastColumn="0" w:lastRowFirstColumn="0" w:lastRowLastColumn="0"/>
        </w:trPr>
        <w:tc>
          <w:tcPr>
            <w:tcW w:w="3211" w:type="dxa"/>
          </w:tcPr>
          <w:p w14:paraId="5E32DA5D" w14:textId="77777777" w:rsidR="0083508C" w:rsidRPr="00C721C8" w:rsidRDefault="0083508C" w:rsidP="00F01BE0">
            <w:pPr>
              <w:pStyle w:val="TableHeading"/>
            </w:pPr>
            <w:r w:rsidRPr="00C721C8">
              <w:t>Input Costs</w:t>
            </w:r>
            <w:r>
              <w:t xml:space="preserve"> (business as usual ONLY)</w:t>
            </w:r>
          </w:p>
        </w:tc>
        <w:tc>
          <w:tcPr>
            <w:tcW w:w="3211" w:type="dxa"/>
          </w:tcPr>
          <w:p w14:paraId="5FF00729" w14:textId="77777777" w:rsidR="0083508C" w:rsidRPr="00C721C8" w:rsidRDefault="0083508C" w:rsidP="00F01BE0">
            <w:pPr>
              <w:pStyle w:val="TableHeading"/>
            </w:pPr>
            <w:r w:rsidRPr="00C721C8">
              <w:t>Benefits (primary, secondary and social care)</w:t>
            </w:r>
          </w:p>
        </w:tc>
        <w:tc>
          <w:tcPr>
            <w:tcW w:w="3212" w:type="dxa"/>
          </w:tcPr>
          <w:p w14:paraId="164FA6E2" w14:textId="77777777" w:rsidR="0083508C" w:rsidRPr="00C721C8" w:rsidRDefault="0083508C" w:rsidP="00F01BE0">
            <w:pPr>
              <w:pStyle w:val="TableHeading"/>
            </w:pPr>
            <w:r w:rsidRPr="00C721C8">
              <w:t>ROI</w:t>
            </w:r>
          </w:p>
        </w:tc>
      </w:tr>
      <w:tr w:rsidR="0083508C" w:rsidRPr="00C721C8" w14:paraId="4B5032A8" w14:textId="77777777" w:rsidTr="00C371E8">
        <w:trPr>
          <w:cnfStyle w:val="000000100000" w:firstRow="0" w:lastRow="0" w:firstColumn="0" w:lastColumn="0" w:oddVBand="0" w:evenVBand="0" w:oddHBand="1" w:evenHBand="0" w:firstRowFirstColumn="0" w:firstRowLastColumn="0" w:lastRowFirstColumn="0" w:lastRowLastColumn="0"/>
        </w:trPr>
        <w:tc>
          <w:tcPr>
            <w:tcW w:w="3211" w:type="dxa"/>
            <w:vAlign w:val="center"/>
          </w:tcPr>
          <w:p w14:paraId="133A64F4" w14:textId="55BCF842" w:rsidR="0083508C" w:rsidRPr="00C721C8" w:rsidRDefault="00AE785D" w:rsidP="00F01BE0">
            <w:pPr>
              <w:pStyle w:val="TableParagraph"/>
              <w:jc w:val="right"/>
            </w:pPr>
            <w:r w:rsidRPr="00AE785D">
              <w:t xml:space="preserve">£36,702 </w:t>
            </w:r>
          </w:p>
        </w:tc>
        <w:tc>
          <w:tcPr>
            <w:tcW w:w="3211" w:type="dxa"/>
            <w:vAlign w:val="center"/>
          </w:tcPr>
          <w:p w14:paraId="423FAB26" w14:textId="77777777" w:rsidR="0083508C" w:rsidRPr="00C721C8" w:rsidRDefault="00633E04" w:rsidP="00F01BE0">
            <w:pPr>
              <w:pStyle w:val="TableParagraph"/>
              <w:jc w:val="right"/>
            </w:pPr>
            <w:r w:rsidRPr="00633E04">
              <w:t>-£39,726</w:t>
            </w:r>
          </w:p>
        </w:tc>
        <w:tc>
          <w:tcPr>
            <w:tcW w:w="3212" w:type="dxa"/>
            <w:vAlign w:val="center"/>
          </w:tcPr>
          <w:p w14:paraId="1F95A7B9" w14:textId="77777777" w:rsidR="0083508C" w:rsidRPr="00C721C8" w:rsidRDefault="006A6086" w:rsidP="006A6086">
            <w:pPr>
              <w:pStyle w:val="TableParagraph"/>
              <w:jc w:val="right"/>
            </w:pPr>
            <w:r>
              <w:t>-1.</w:t>
            </w:r>
            <w:r w:rsidR="001736DD">
              <w:t>08</w:t>
            </w:r>
          </w:p>
        </w:tc>
      </w:tr>
    </w:tbl>
    <w:p w14:paraId="5EB437B0" w14:textId="77777777" w:rsidR="00633E04" w:rsidRDefault="00633E04" w:rsidP="00AE785D">
      <w:pPr>
        <w:pStyle w:val="BodyText-parastyle"/>
        <w:rPr>
          <w:highlight w:val="yellow"/>
        </w:rPr>
      </w:pPr>
    </w:p>
    <w:p w14:paraId="42C940EA" w14:textId="606FDCA7" w:rsidR="0083508C" w:rsidRPr="00AE785D" w:rsidRDefault="0083508C" w:rsidP="00AE785D">
      <w:pPr>
        <w:pStyle w:val="BodyText-parastyle"/>
      </w:pPr>
      <w:r w:rsidRPr="00633E04">
        <w:t xml:space="preserve">This demonstrates that the estimated </w:t>
      </w:r>
      <w:r w:rsidRPr="00AE785D">
        <w:t xml:space="preserve">cost avoidance during </w:t>
      </w:r>
      <w:r w:rsidR="00633E04" w:rsidRPr="00AE785D">
        <w:t>2015/16 – 2016/17</w:t>
      </w:r>
      <w:r w:rsidRPr="00AE785D">
        <w:t xml:space="preserve"> (based on self-reported findings at a 3 month interval from </w:t>
      </w:r>
      <w:r w:rsidR="00633E04" w:rsidRPr="00AE785D">
        <w:t>136</w:t>
      </w:r>
      <w:r w:rsidRPr="00AE785D">
        <w:t xml:space="preserve"> service users) was</w:t>
      </w:r>
      <w:r w:rsidR="00601984" w:rsidRPr="00AE785D">
        <w:t xml:space="preserve"> </w:t>
      </w:r>
      <w:r w:rsidR="00AB0257" w:rsidRPr="00AE785D">
        <w:t>£</w:t>
      </w:r>
      <w:r w:rsidR="00633E04" w:rsidRPr="00AE785D">
        <w:t xml:space="preserve">39,726 </w:t>
      </w:r>
      <w:r w:rsidRPr="00AE785D">
        <w:t xml:space="preserve">compared to total input costs of </w:t>
      </w:r>
      <w:r w:rsidR="00661A6F" w:rsidRPr="00AE785D">
        <w:t>£41,452</w:t>
      </w:r>
      <w:r w:rsidR="00661A6F" w:rsidRPr="00AE785D" w:rsidDel="00661A6F">
        <w:t xml:space="preserve"> </w:t>
      </w:r>
      <w:r w:rsidRPr="00AE785D">
        <w:t xml:space="preserve">(set up and </w:t>
      </w:r>
      <w:r w:rsidR="003B56B3" w:rsidRPr="00AE785D">
        <w:t>business as usual</w:t>
      </w:r>
      <w:r w:rsidRPr="00AE785D">
        <w:t xml:space="preserve">) / </w:t>
      </w:r>
      <w:r w:rsidR="003B56B3" w:rsidRPr="00AE785D">
        <w:t>business as usual</w:t>
      </w:r>
      <w:r w:rsidRPr="00AE785D">
        <w:t xml:space="preserve"> costs</w:t>
      </w:r>
      <w:r w:rsidR="00601984" w:rsidRPr="00AE785D">
        <w:t xml:space="preserve"> only</w:t>
      </w:r>
      <w:r w:rsidRPr="00AE785D">
        <w:t xml:space="preserve"> of </w:t>
      </w:r>
      <w:r w:rsidR="00601984" w:rsidRPr="00AE785D">
        <w:t>£</w:t>
      </w:r>
      <w:r w:rsidR="00AE785D" w:rsidRPr="00AE785D">
        <w:t>36,702</w:t>
      </w:r>
      <w:r w:rsidRPr="00AE785D">
        <w:t>. This translates to:</w:t>
      </w:r>
    </w:p>
    <w:p w14:paraId="3DCC3304" w14:textId="77777777" w:rsidR="0083508C" w:rsidRPr="00AE785D" w:rsidRDefault="0083508C" w:rsidP="00D53262">
      <w:pPr>
        <w:pStyle w:val="ListParagraph"/>
      </w:pPr>
      <w:r w:rsidRPr="00AE785D">
        <w:t>Set up and business as usual costs - a return on investment of 0.</w:t>
      </w:r>
      <w:r w:rsidR="006A6086" w:rsidRPr="00AE785D">
        <w:t>96</w:t>
      </w:r>
      <w:r w:rsidRPr="00AE785D">
        <w:t xml:space="preserve"> for every pound invested; or </w:t>
      </w:r>
    </w:p>
    <w:p w14:paraId="5DCDEA68" w14:textId="77777777" w:rsidR="0083508C" w:rsidRPr="00AE785D" w:rsidRDefault="0083508C" w:rsidP="00D53262">
      <w:pPr>
        <w:pStyle w:val="ListParagraph"/>
      </w:pPr>
      <w:r w:rsidRPr="00AE785D">
        <w:t xml:space="preserve">Business as usual costs a return on investment of </w:t>
      </w:r>
      <w:r w:rsidR="006A6086" w:rsidRPr="00AE785D">
        <w:t>1.</w:t>
      </w:r>
      <w:r w:rsidR="001736DD" w:rsidRPr="00AE785D">
        <w:t>08</w:t>
      </w:r>
      <w:r w:rsidRPr="00AE785D">
        <w:t xml:space="preserve"> for every pound invested </w:t>
      </w:r>
    </w:p>
    <w:p w14:paraId="3FA67C56" w14:textId="15088D4D" w:rsidR="006A6086" w:rsidRDefault="006A6086" w:rsidP="00AE785D">
      <w:pPr>
        <w:pStyle w:val="BodyText-parastyle"/>
      </w:pPr>
      <w:r>
        <w:t xml:space="preserve">Both compare favourably with other Social Prescribing projects, for example in the Rotherham Social Prescribing </w:t>
      </w:r>
      <w:r w:rsidR="00661A6F">
        <w:t xml:space="preserve">pilot </w:t>
      </w:r>
      <w:r>
        <w:t>there was an estimated return on investment of 0.26 in year one and 0.73 in year two.</w:t>
      </w:r>
      <w:r w:rsidR="00601984">
        <w:rPr>
          <w:rStyle w:val="FootnoteReference"/>
        </w:rPr>
        <w:footnoteReference w:id="110"/>
      </w:r>
      <w:r>
        <w:t xml:space="preserve"> </w:t>
      </w:r>
    </w:p>
    <w:p w14:paraId="70FCBFF0" w14:textId="77777777" w:rsidR="009F0DC7" w:rsidRPr="00CB616B" w:rsidRDefault="0083508C" w:rsidP="00AE785D">
      <w:pPr>
        <w:pStyle w:val="BodyText-parastyle"/>
      </w:pPr>
      <w:r w:rsidRPr="00633E04">
        <w:t>However it is important to note that the figures are based on extremely low responses and do not provide an accurate reflection of the likely service user and cost-benefits of the model over a longer time period.</w:t>
      </w:r>
      <w:r w:rsidR="00633E04">
        <w:t xml:space="preserve"> </w:t>
      </w:r>
    </w:p>
    <w:p w14:paraId="2B5C4C15" w14:textId="2F75399C" w:rsidR="0083508C" w:rsidRDefault="0083508C" w:rsidP="0083508C">
      <w:pPr>
        <w:pStyle w:val="Heading2"/>
        <w:numPr>
          <w:ilvl w:val="1"/>
          <w:numId w:val="1"/>
        </w:numPr>
        <w:tabs>
          <w:tab w:val="clear" w:pos="3349"/>
          <w:tab w:val="num" w:pos="567"/>
        </w:tabs>
        <w:ind w:left="567" w:hanging="567"/>
      </w:pPr>
      <w:bookmarkStart w:id="71" w:name="_Toc497934297"/>
      <w:r>
        <w:t>Conclusion</w:t>
      </w:r>
      <w:bookmarkEnd w:id="71"/>
    </w:p>
    <w:p w14:paraId="0EDF78B4" w14:textId="3A471443" w:rsidR="000D307F" w:rsidRDefault="000D307F" w:rsidP="00AE785D">
      <w:pPr>
        <w:pStyle w:val="BodyText-parastyle"/>
        <w:rPr>
          <w:rFonts w:eastAsia="Calibri"/>
        </w:rPr>
      </w:pPr>
      <w:r>
        <w:rPr>
          <w:rFonts w:eastAsia="Calibri"/>
        </w:rPr>
        <w:t xml:space="preserve">Overall the Social Prescribing programme has underspent by </w:t>
      </w:r>
      <w:r w:rsidR="00661A6F" w:rsidRPr="00661A6F">
        <w:rPr>
          <w:rFonts w:eastAsia="Calibri"/>
        </w:rPr>
        <w:t>£1</w:t>
      </w:r>
      <w:r w:rsidR="00D75DDC">
        <w:rPr>
          <w:rFonts w:eastAsia="Calibri"/>
        </w:rPr>
        <w:t>7</w:t>
      </w:r>
      <w:r w:rsidR="00661A6F" w:rsidRPr="00661A6F">
        <w:rPr>
          <w:rFonts w:eastAsia="Calibri"/>
        </w:rPr>
        <w:t>5,867</w:t>
      </w:r>
      <w:r w:rsidRPr="000D307F">
        <w:rPr>
          <w:rFonts w:eastAsia="Calibri"/>
        </w:rPr>
        <w:t>; this is due to a variety of rea</w:t>
      </w:r>
      <w:r>
        <w:rPr>
          <w:rFonts w:eastAsia="Calibri"/>
        </w:rPr>
        <w:t>sons at project level including delays in project mobilisation / project start dates and subsequent recruitment delays; savings on e.g. volunteer expenses and by using existing infrastructure to help deliver the project(s)</w:t>
      </w:r>
      <w:r w:rsidR="00601984">
        <w:rPr>
          <w:rFonts w:eastAsia="Calibri"/>
        </w:rPr>
        <w:t>,</w:t>
      </w:r>
      <w:r>
        <w:rPr>
          <w:rFonts w:eastAsia="Calibri"/>
        </w:rPr>
        <w:t xml:space="preserve"> as well as intentional underspend in some area</w:t>
      </w:r>
      <w:r w:rsidR="00661A6F">
        <w:rPr>
          <w:rFonts w:eastAsia="Calibri"/>
        </w:rPr>
        <w:t>s</w:t>
      </w:r>
      <w:r>
        <w:rPr>
          <w:rFonts w:eastAsia="Calibri"/>
        </w:rPr>
        <w:t xml:space="preserve"> to allow higher level of investment in the second year of delivery.</w:t>
      </w:r>
      <w:r>
        <w:rPr>
          <w:rStyle w:val="FootnoteReference"/>
          <w:rFonts w:eastAsia="Calibri"/>
        </w:rPr>
        <w:footnoteReference w:id="111"/>
      </w:r>
      <w:r w:rsidR="009F3F52">
        <w:rPr>
          <w:rFonts w:eastAsia="Calibri"/>
        </w:rPr>
        <w:t xml:space="preserve"> </w:t>
      </w:r>
      <w:r w:rsidR="001736DD">
        <w:rPr>
          <w:rFonts w:eastAsia="Calibri"/>
        </w:rPr>
        <w:t>It is planned that the underspend will be carried forward</w:t>
      </w:r>
      <w:r w:rsidR="00A9704E">
        <w:rPr>
          <w:rFonts w:eastAsia="Calibri"/>
        </w:rPr>
        <w:t xml:space="preserve"> into the 2017/18 financial year</w:t>
      </w:r>
      <w:r w:rsidR="001736DD">
        <w:rPr>
          <w:rFonts w:eastAsia="Calibri"/>
        </w:rPr>
        <w:t xml:space="preserve">. </w:t>
      </w:r>
    </w:p>
    <w:p w14:paraId="2E265846" w14:textId="77777777" w:rsidR="000D307F" w:rsidRDefault="000D307F" w:rsidP="00AE785D">
      <w:pPr>
        <w:pStyle w:val="BodyText-parastyle"/>
      </w:pPr>
      <w:r>
        <w:t xml:space="preserve">There is some evidence that the Social Prescribing projects have helped to reduce use of primary, secondary and social care services and result in costs avoided to the health service totalling </w:t>
      </w:r>
      <w:r w:rsidR="00BE1BC0" w:rsidRPr="00BE1BC0">
        <w:t>£39,726</w:t>
      </w:r>
      <w:r w:rsidR="0068209C">
        <w:t xml:space="preserve"> in a three month period for the survey cohort</w:t>
      </w:r>
      <w:r>
        <w:t>. A number of other positive economic benefits have been estimated:</w:t>
      </w:r>
    </w:p>
    <w:p w14:paraId="101548D4" w14:textId="77777777" w:rsidR="000D307F" w:rsidRDefault="000D307F" w:rsidP="00D53262">
      <w:pPr>
        <w:pStyle w:val="ListParagraph"/>
      </w:pPr>
      <w:r w:rsidRPr="00DE2D3B">
        <w:rPr>
          <w:color w:val="00B0F0"/>
        </w:rPr>
        <w:t xml:space="preserve">Primary care </w:t>
      </w:r>
      <w:r>
        <w:t>– costs avoided in relation to time spent with a GP, prescriptions received and h</w:t>
      </w:r>
      <w:r w:rsidRPr="00706AA1">
        <w:t>ours of counselling services received</w:t>
      </w:r>
      <w:r>
        <w:t xml:space="preserve"> totaling </w:t>
      </w:r>
      <w:r w:rsidRPr="00634E36">
        <w:t>£</w:t>
      </w:r>
      <w:r w:rsidR="00F348C5">
        <w:t>1</w:t>
      </w:r>
      <w:r w:rsidRPr="00634E36">
        <w:t>5,</w:t>
      </w:r>
      <w:r w:rsidR="00F348C5">
        <w:t>136</w:t>
      </w:r>
      <w:r>
        <w:t xml:space="preserve">; however due to respondents </w:t>
      </w:r>
      <w:r w:rsidR="00F348C5">
        <w:t xml:space="preserve">reporting an increase in the number of hours of counselling received or attendance at mental health support in the </w:t>
      </w:r>
      <w:r>
        <w:t>there is a cost incurred to primary care of £</w:t>
      </w:r>
      <w:r w:rsidR="00F348C5">
        <w:t>2,078</w:t>
      </w:r>
    </w:p>
    <w:p w14:paraId="1B97A6DD" w14:textId="77777777" w:rsidR="000D307F" w:rsidRDefault="000D307F" w:rsidP="00D53262">
      <w:pPr>
        <w:pStyle w:val="ListParagraph"/>
      </w:pPr>
      <w:r w:rsidRPr="00DE2D3B">
        <w:rPr>
          <w:color w:val="00B0F0"/>
        </w:rPr>
        <w:t xml:space="preserve">Secondary care </w:t>
      </w:r>
      <w:r>
        <w:t xml:space="preserve">– costs avoided in relation to </w:t>
      </w:r>
      <w:r w:rsidR="001873D9">
        <w:t xml:space="preserve">attendance at A+E, </w:t>
      </w:r>
      <w:r>
        <w:t>outpatient appointments attended</w:t>
      </w:r>
      <w:r w:rsidR="001873D9">
        <w:t xml:space="preserve"> and admissions to hospital for a planned or emergency procedure</w:t>
      </w:r>
      <w:r>
        <w:t xml:space="preserve"> totaling £</w:t>
      </w:r>
      <w:r w:rsidR="001873D9">
        <w:t>36,461</w:t>
      </w:r>
    </w:p>
    <w:p w14:paraId="23E92874" w14:textId="77777777" w:rsidR="000D307F" w:rsidRPr="00AE785D" w:rsidRDefault="000D307F" w:rsidP="00D53262">
      <w:pPr>
        <w:pStyle w:val="ListParagraph"/>
      </w:pPr>
      <w:r w:rsidRPr="00AE785D">
        <w:rPr>
          <w:color w:val="00B0F0"/>
        </w:rPr>
        <w:t xml:space="preserve">Social care </w:t>
      </w:r>
      <w:r w:rsidRPr="00AE785D">
        <w:t>- costs avoided in relation to hours of support received from a social worker attended totaling £</w:t>
      </w:r>
      <w:r w:rsidR="001873D9" w:rsidRPr="00AE785D">
        <w:t>5,343</w:t>
      </w:r>
    </w:p>
    <w:p w14:paraId="42C1BE83" w14:textId="543E44AE" w:rsidR="00131B94" w:rsidRPr="00AE785D" w:rsidRDefault="00131B94" w:rsidP="00F938AF">
      <w:pPr>
        <w:pStyle w:val="ListParagraph"/>
      </w:pPr>
      <w:r w:rsidRPr="00AE785D">
        <w:rPr>
          <w:color w:val="00B0F0"/>
        </w:rPr>
        <w:t>Quality Adjusted Life Years (QALYs)</w:t>
      </w:r>
      <w:r w:rsidR="00D440B4">
        <w:rPr>
          <w:rStyle w:val="FootnoteReference"/>
          <w:color w:val="00B0F0"/>
        </w:rPr>
        <w:footnoteReference w:id="112"/>
      </w:r>
      <w:r w:rsidRPr="00AE785D">
        <w:rPr>
          <w:color w:val="00B0F0"/>
        </w:rPr>
        <w:t xml:space="preserve"> </w:t>
      </w:r>
      <w:r w:rsidRPr="00AE785D">
        <w:t xml:space="preserve">- </w:t>
      </w:r>
      <w:r w:rsidR="00F938AF">
        <w:t>based on five Social Prescribing projects</w:t>
      </w:r>
      <w:r w:rsidR="00F938AF">
        <w:rPr>
          <w:rStyle w:val="FootnoteReference"/>
        </w:rPr>
        <w:footnoteReference w:id="113"/>
      </w:r>
      <w:r w:rsidR="00F938AF">
        <w:t xml:space="preserve"> an </w:t>
      </w:r>
      <w:r w:rsidRPr="00AE785D">
        <w:t>estimated additional 96.56 QALYs at a cost per QALY of £</w:t>
      </w:r>
      <w:r w:rsidR="00F938AF" w:rsidRPr="00F938AF">
        <w:t>7,892.23</w:t>
      </w:r>
      <w:r w:rsidR="00F938AF" w:rsidRPr="00F938AF" w:rsidDel="00F938AF">
        <w:t xml:space="preserve"> </w:t>
      </w:r>
      <w:r w:rsidRPr="00AE785D">
        <w:t>(compared to the NICE threshold of £20,000)</w:t>
      </w:r>
      <w:r w:rsidRPr="00AE785D">
        <w:rPr>
          <w:rStyle w:val="FootnoteReference"/>
        </w:rPr>
        <w:footnoteReference w:id="114"/>
      </w:r>
    </w:p>
    <w:p w14:paraId="1DB66F4C" w14:textId="77777777" w:rsidR="000D307F" w:rsidRDefault="000D307F" w:rsidP="00D53262">
      <w:pPr>
        <w:pStyle w:val="ListParagraph"/>
      </w:pPr>
      <w:r w:rsidRPr="00DE2D3B">
        <w:rPr>
          <w:color w:val="00B0F0"/>
        </w:rPr>
        <w:t xml:space="preserve">Return on </w:t>
      </w:r>
      <w:r w:rsidRPr="00AE785D">
        <w:rPr>
          <w:color w:val="00B0F0"/>
        </w:rPr>
        <w:t xml:space="preserve">investment </w:t>
      </w:r>
      <w:r w:rsidRPr="00AE785D">
        <w:t xml:space="preserve">– </w:t>
      </w:r>
      <w:r w:rsidR="001873D9" w:rsidRPr="00AE785D">
        <w:t>based on estimated cost avoidance of £39,726; a return on investment of £0.96 - £1.</w:t>
      </w:r>
      <w:r w:rsidR="001736DD" w:rsidRPr="00AE785D">
        <w:t>08</w:t>
      </w:r>
      <w:r w:rsidR="001873D9" w:rsidRPr="00AE785D">
        <w:t xml:space="preserve"> pence</w:t>
      </w:r>
      <w:r w:rsidR="001873D9" w:rsidRPr="001873D9">
        <w:t xml:space="preserve"> for every £1 invested is estimated</w:t>
      </w:r>
    </w:p>
    <w:p w14:paraId="7AD889ED" w14:textId="77777777" w:rsidR="000D307F" w:rsidRDefault="000D307F" w:rsidP="00D53262">
      <w:pPr>
        <w:pStyle w:val="ListParagraph"/>
      </w:pPr>
      <w:r w:rsidRPr="00DE2D3B">
        <w:rPr>
          <w:color w:val="00B0F0"/>
        </w:rPr>
        <w:t xml:space="preserve">Volunteering </w:t>
      </w:r>
      <w:r>
        <w:t xml:space="preserve">– the estimated value of volunteering to the pilot is </w:t>
      </w:r>
      <w:r w:rsidRPr="0046192D">
        <w:t>£</w:t>
      </w:r>
      <w:r w:rsidR="00A9704E" w:rsidRPr="00A9704E">
        <w:t>6,</w:t>
      </w:r>
      <w:r w:rsidR="00090833">
        <w:t>804</w:t>
      </w:r>
    </w:p>
    <w:p w14:paraId="603048B3" w14:textId="77777777" w:rsidR="005F6CF6" w:rsidRDefault="005F6CF6" w:rsidP="00AE785D">
      <w:pPr>
        <w:pStyle w:val="BodyText-parastyle"/>
      </w:pPr>
      <w:r>
        <w:t xml:space="preserve">Overall the greatest cost avoidance reported has been in secondary care and specifically in relation to reduced hospital admissions (estimated cost avoidance of £27,105). However primary care, and specifically GPs, have also benefitted with an estimated cost avoidance of £9,478. </w:t>
      </w:r>
    </w:p>
    <w:p w14:paraId="3761E1C1" w14:textId="77777777" w:rsidR="005F6CF6" w:rsidRPr="005F6CF6" w:rsidRDefault="005F6CF6" w:rsidP="005F6CF6">
      <w:pPr>
        <w:pStyle w:val="BodyText-italics"/>
        <w:rPr>
          <w:color w:val="00B0F0"/>
        </w:rPr>
      </w:pPr>
      <w:r w:rsidRPr="005F6CF6">
        <w:rPr>
          <w:color w:val="00B0F0"/>
        </w:rPr>
        <w:t>Estimated cost avoidance for the entire programme</w:t>
      </w:r>
    </w:p>
    <w:p w14:paraId="411E8414" w14:textId="77777777" w:rsidR="006111B4" w:rsidRDefault="006111B4" w:rsidP="00AE785D">
      <w:pPr>
        <w:pStyle w:val="BodyText-parastyle"/>
      </w:pPr>
      <w:r>
        <w:t>When scaled up to reflect all of those supported by the Social Prescribing projects (</w:t>
      </w:r>
      <w:r w:rsidRPr="00D87C37">
        <w:rPr>
          <w:b/>
        </w:rPr>
        <w:t>see methodology used in section 8.6</w:t>
      </w:r>
      <w:r>
        <w:t>) the following net and gross cost avoidance values are estimated:</w:t>
      </w:r>
    </w:p>
    <w:p w14:paraId="4ABDBA5F" w14:textId="77777777" w:rsidR="006111B4" w:rsidRPr="006D6D98" w:rsidRDefault="006111B4" w:rsidP="00D53262">
      <w:pPr>
        <w:pStyle w:val="ListParagraph"/>
        <w:rPr>
          <w:rFonts w:eastAsia="Times New Roman"/>
          <w:lang w:val="en-GB" w:eastAsia="en-GB"/>
        </w:rPr>
      </w:pPr>
      <w:r w:rsidRPr="004C31FA">
        <w:rPr>
          <w:color w:val="00B0F0"/>
        </w:rPr>
        <w:t xml:space="preserve">Primary care </w:t>
      </w:r>
      <w:r w:rsidRPr="004C31FA">
        <w:t xml:space="preserve">– </w:t>
      </w:r>
      <w:r w:rsidRPr="006D6D98">
        <w:t>potential minimum cost avoidance for primary care usage for all of those supported by the Social Prescribing projects is £256,</w:t>
      </w:r>
      <w:r>
        <w:t>950 and the maximum is £747,468</w:t>
      </w:r>
    </w:p>
    <w:p w14:paraId="6BA3B6CF" w14:textId="77777777" w:rsidR="006111B4" w:rsidRPr="006D6D98" w:rsidRDefault="006111B4" w:rsidP="00D53262">
      <w:pPr>
        <w:pStyle w:val="ListParagraph"/>
        <w:rPr>
          <w:rFonts w:eastAsia="Times New Roman"/>
          <w:lang w:val="en-GB" w:eastAsia="en-GB"/>
        </w:rPr>
      </w:pPr>
      <w:r w:rsidRPr="006D6D98">
        <w:rPr>
          <w:color w:val="00B0F0"/>
        </w:rPr>
        <w:t xml:space="preserve">Secondary care </w:t>
      </w:r>
      <w:r w:rsidRPr="004C31FA">
        <w:t>–</w:t>
      </w:r>
      <w:r w:rsidRPr="006D6D98">
        <w:t xml:space="preserve"> potential minimum cost avoidance for secondary care usage for all of those supported by the Social Prescribing projects is £1,091,27</w:t>
      </w:r>
      <w:r>
        <w:t>2 and the maximum is £1,349,216</w:t>
      </w:r>
    </w:p>
    <w:p w14:paraId="02A91D69" w14:textId="77777777" w:rsidR="006111B4" w:rsidRPr="009529DC" w:rsidRDefault="006111B4" w:rsidP="00D53262">
      <w:pPr>
        <w:pStyle w:val="ListParagraph"/>
        <w:rPr>
          <w:rFonts w:eastAsia="Times New Roman"/>
          <w:lang w:val="en-GB" w:eastAsia="en-GB"/>
        </w:rPr>
      </w:pPr>
      <w:r w:rsidRPr="004C31FA">
        <w:rPr>
          <w:color w:val="00B0F0"/>
        </w:rPr>
        <w:t xml:space="preserve">Social care </w:t>
      </w:r>
      <w:r w:rsidRPr="004C31FA">
        <w:t>–</w:t>
      </w:r>
      <w:r>
        <w:t xml:space="preserve"> </w:t>
      </w:r>
      <w:r w:rsidRPr="006D6D98">
        <w:t>potential minimum cost avoidance for social care usage for all of those supported by the Social Prescribing projects is £96,708 and the maximum is £211,446.</w:t>
      </w:r>
    </w:p>
    <w:p w14:paraId="2CDA0283" w14:textId="77777777" w:rsidR="006111B4" w:rsidRDefault="006111B4" w:rsidP="00AE785D">
      <w:pPr>
        <w:pStyle w:val="BodyText-parastyle"/>
      </w:pPr>
      <w:r>
        <w:t xml:space="preserve">Therefore the estimated cost avoidance for the entire programme is between </w:t>
      </w:r>
      <w:r w:rsidRPr="0068209C">
        <w:t>£1,444,929</w:t>
      </w:r>
      <w:r>
        <w:t xml:space="preserve"> and </w:t>
      </w:r>
      <w:r w:rsidRPr="0068209C">
        <w:t>£2,308,128</w:t>
      </w:r>
      <w:r>
        <w:t xml:space="preserve">. </w:t>
      </w:r>
    </w:p>
    <w:p w14:paraId="429F2C5D" w14:textId="77777777" w:rsidR="00AE34F6" w:rsidRDefault="00AE34F6" w:rsidP="0068209C"/>
    <w:p w14:paraId="6F75D548" w14:textId="77777777" w:rsidR="00AE34F6" w:rsidRDefault="00AE34F6" w:rsidP="0068209C"/>
    <w:p w14:paraId="168421C5" w14:textId="77777777" w:rsidR="0083508C" w:rsidRDefault="0083508C" w:rsidP="006C34B6">
      <w:pPr>
        <w:pStyle w:val="Heading1"/>
        <w:keepNext w:val="0"/>
        <w:keepLines w:val="0"/>
        <w:numPr>
          <w:ilvl w:val="0"/>
          <w:numId w:val="1"/>
        </w:numPr>
        <w:spacing w:before="240" w:line="288" w:lineRule="auto"/>
        <w:ind w:left="709" w:hanging="709"/>
      </w:pPr>
      <w:bookmarkStart w:id="73" w:name="_Toc497934298"/>
      <w:r>
        <w:t>Progress against Interim Report Recommendations</w:t>
      </w:r>
      <w:bookmarkEnd w:id="73"/>
      <w:r>
        <w:t xml:space="preserve"> </w:t>
      </w:r>
    </w:p>
    <w:p w14:paraId="66104AB8" w14:textId="77777777" w:rsidR="0083508C" w:rsidRDefault="0083508C" w:rsidP="0083508C">
      <w:pPr>
        <w:pStyle w:val="Heading2"/>
      </w:pPr>
      <w:bookmarkStart w:id="74" w:name="_Toc497934299"/>
      <w:r>
        <w:t>Introduction</w:t>
      </w:r>
      <w:bookmarkEnd w:id="74"/>
    </w:p>
    <w:p w14:paraId="1A0F71FA" w14:textId="77777777" w:rsidR="005B77C6" w:rsidRDefault="007208F2" w:rsidP="00AE785D">
      <w:pPr>
        <w:pStyle w:val="BodyText-parastyle"/>
      </w:pPr>
      <w:r>
        <w:t xml:space="preserve">This section outlines </w:t>
      </w:r>
      <w:r w:rsidRPr="007208F2">
        <w:t xml:space="preserve">progress against the </w:t>
      </w:r>
      <w:r>
        <w:t>interim</w:t>
      </w:r>
      <w:r w:rsidRPr="007208F2">
        <w:t xml:space="preserve"> report recommendations (</w:t>
      </w:r>
      <w:r>
        <w:t>October 2016</w:t>
      </w:r>
      <w:r w:rsidRPr="007208F2">
        <w:t>).</w:t>
      </w:r>
    </w:p>
    <w:p w14:paraId="5D944455" w14:textId="38AF9975" w:rsidR="0083508C" w:rsidRDefault="0083508C" w:rsidP="0083508C">
      <w:pPr>
        <w:pStyle w:val="Heading2"/>
      </w:pPr>
      <w:bookmarkStart w:id="75" w:name="_Toc497934300"/>
      <w:r>
        <w:t>Progress</w:t>
      </w:r>
      <w:bookmarkEnd w:id="75"/>
      <w:r>
        <w:t xml:space="preserve"> </w:t>
      </w:r>
    </w:p>
    <w:p w14:paraId="1C0E59C8" w14:textId="77777777" w:rsidR="007208F2" w:rsidRDefault="007208F2" w:rsidP="00AE785D">
      <w:pPr>
        <w:pStyle w:val="BodyText-parastyle"/>
      </w:pPr>
      <w:r>
        <w:t>A number of recommendations were made in the interim report in relation to project aims, objectives and targets, monitoring and shared learning. Actions taken on each of these is detailed below.</w:t>
      </w:r>
    </w:p>
    <w:p w14:paraId="6D970C85" w14:textId="77777777" w:rsidR="0083508C" w:rsidRPr="00FF5F8F" w:rsidRDefault="00073E6C" w:rsidP="00CD4614">
      <w:pPr>
        <w:pStyle w:val="IntenseQuote"/>
      </w:pPr>
      <w:r>
        <w:t xml:space="preserve">Table </w:t>
      </w:r>
      <w:r w:rsidR="00603E87">
        <w:fldChar w:fldCharType="begin"/>
      </w:r>
      <w:r w:rsidR="00603E87">
        <w:instrText xml:space="preserve"> STYLEREF 1 \s </w:instrText>
      </w:r>
      <w:r w:rsidR="00603E87">
        <w:fldChar w:fldCharType="separate"/>
      </w:r>
      <w:r w:rsidR="00F006C8">
        <w:rPr>
          <w:noProof/>
        </w:rPr>
        <w:t>9</w:t>
      </w:r>
      <w:r w:rsidR="00603E87">
        <w:fldChar w:fldCharType="end"/>
      </w:r>
      <w:r w:rsidR="00603E87">
        <w:t>:</w:t>
      </w:r>
      <w:r w:rsidR="00603E87">
        <w:fldChar w:fldCharType="begin"/>
      </w:r>
      <w:r w:rsidR="00603E87">
        <w:instrText xml:space="preserve"> SEQ Table \* ARABIC \s 1 </w:instrText>
      </w:r>
      <w:r w:rsidR="00603E87">
        <w:fldChar w:fldCharType="separate"/>
      </w:r>
      <w:r w:rsidR="00F006C8">
        <w:rPr>
          <w:noProof/>
        </w:rPr>
        <w:t>1</w:t>
      </w:r>
      <w:r w:rsidR="00603E87">
        <w:fldChar w:fldCharType="end"/>
      </w:r>
      <w:r>
        <w:t xml:space="preserve">: </w:t>
      </w:r>
      <w:r w:rsidR="0083508C">
        <w:t>Progress against Interim Report Recommendations</w:t>
      </w:r>
    </w:p>
    <w:tbl>
      <w:tblPr>
        <w:tblStyle w:val="ForfasTableGrid1"/>
        <w:tblW w:w="0" w:type="auto"/>
        <w:tblLook w:val="04A0" w:firstRow="1" w:lastRow="0" w:firstColumn="1" w:lastColumn="0" w:noHBand="0" w:noVBand="1"/>
      </w:tblPr>
      <w:tblGrid>
        <w:gridCol w:w="4884"/>
        <w:gridCol w:w="4750"/>
      </w:tblGrid>
      <w:tr w:rsidR="0083508C" w14:paraId="6F5E2FD3" w14:textId="77777777" w:rsidTr="001D0455">
        <w:trPr>
          <w:cnfStyle w:val="100000000000" w:firstRow="1" w:lastRow="0" w:firstColumn="0" w:lastColumn="0" w:oddVBand="0" w:evenVBand="0" w:oddHBand="0" w:evenHBand="0" w:firstRowFirstColumn="0" w:firstRowLastColumn="0" w:lastRowFirstColumn="0" w:lastRowLastColumn="0"/>
          <w:tblHeader/>
        </w:trPr>
        <w:tc>
          <w:tcPr>
            <w:tcW w:w="4884" w:type="dxa"/>
          </w:tcPr>
          <w:p w14:paraId="56C8335D" w14:textId="77777777" w:rsidR="0083508C" w:rsidRDefault="0083508C" w:rsidP="00F01BE0">
            <w:pPr>
              <w:pStyle w:val="TableHeading"/>
              <w:rPr>
                <w:lang w:val="en-GB" w:eastAsia="en-GB"/>
              </w:rPr>
            </w:pPr>
            <w:r>
              <w:t>Recommendation / Area for Development</w:t>
            </w:r>
          </w:p>
        </w:tc>
        <w:tc>
          <w:tcPr>
            <w:tcW w:w="4750" w:type="dxa"/>
          </w:tcPr>
          <w:p w14:paraId="59676A19" w14:textId="77777777" w:rsidR="0083508C" w:rsidRDefault="0083508C" w:rsidP="00F01BE0">
            <w:pPr>
              <w:pStyle w:val="TableHeading"/>
              <w:rPr>
                <w:lang w:val="en-GB" w:eastAsia="en-GB"/>
              </w:rPr>
            </w:pPr>
            <w:r>
              <w:rPr>
                <w:lang w:val="en-GB" w:eastAsia="en-GB"/>
              </w:rPr>
              <w:t>Progress / Work Completed to Date</w:t>
            </w:r>
          </w:p>
        </w:tc>
      </w:tr>
      <w:tr w:rsidR="0083508C" w14:paraId="216953BE" w14:textId="77777777" w:rsidTr="001D0455">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0B5D9D54" w14:textId="77777777" w:rsidR="0083508C" w:rsidRPr="00FF5F8F" w:rsidRDefault="0083508C" w:rsidP="00F01BE0">
            <w:pPr>
              <w:rPr>
                <w:b/>
              </w:rPr>
            </w:pPr>
            <w:r w:rsidRPr="00FF5F8F">
              <w:rPr>
                <w:b/>
              </w:rPr>
              <w:t>Project Aims and Objectives and Targets</w:t>
            </w:r>
          </w:p>
        </w:tc>
      </w:tr>
      <w:tr w:rsidR="0083508C" w14:paraId="36676C97"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60BE6AA6" w14:textId="77777777" w:rsidR="0083508C" w:rsidRDefault="0083508C" w:rsidP="00F01BE0">
            <w:r w:rsidRPr="00FF5F8F">
              <w:t>There is a need to be clear on the aims for Social Prescribing that relate to the funding provided.  At present there are two different sets of aims: (1) a focus on decreasing primary/ secondary and community care costs and (2) a whole population approach (i.e. changing behaviours to prevent ill-health in the longer term).</w:t>
            </w:r>
          </w:p>
        </w:tc>
        <w:tc>
          <w:tcPr>
            <w:tcW w:w="4750" w:type="dxa"/>
          </w:tcPr>
          <w:p w14:paraId="040E5F37" w14:textId="77777777" w:rsidR="0083508C" w:rsidRDefault="00F35766" w:rsidP="00F35766">
            <w:r>
              <w:t>It was agreed with each project that b</w:t>
            </w:r>
            <w:r w:rsidR="0083508C">
              <w:t xml:space="preserve">oth sets of outcomes must be reported against and </w:t>
            </w:r>
            <w:r>
              <w:t>agree</w:t>
            </w:r>
            <w:r w:rsidR="000B4FFB">
              <w:t>d</w:t>
            </w:r>
            <w:r>
              <w:t xml:space="preserve"> </w:t>
            </w:r>
            <w:r w:rsidR="0083508C">
              <w:t>metrics are now in the contractual agreement from 2017-18.</w:t>
            </w:r>
          </w:p>
        </w:tc>
      </w:tr>
      <w:tr w:rsidR="0083508C" w14:paraId="57500498" w14:textId="77777777" w:rsidTr="001D0455">
        <w:trPr>
          <w:cnfStyle w:val="000000100000" w:firstRow="0" w:lastRow="0" w:firstColumn="0" w:lastColumn="0" w:oddVBand="0" w:evenVBand="0" w:oddHBand="1" w:evenHBand="0" w:firstRowFirstColumn="0" w:firstRowLastColumn="0" w:lastRowFirstColumn="0" w:lastRowLastColumn="0"/>
        </w:trPr>
        <w:tc>
          <w:tcPr>
            <w:tcW w:w="4884" w:type="dxa"/>
          </w:tcPr>
          <w:p w14:paraId="38BDABC1" w14:textId="77777777" w:rsidR="0083508C" w:rsidRDefault="0083508C" w:rsidP="00BF192A">
            <w:r w:rsidRPr="00FF5F8F">
              <w:t>Each project should ensure evidence against the primary and secondary outcomes (where relevant to their project) are available to support the final evaluation</w:t>
            </w:r>
          </w:p>
        </w:tc>
        <w:tc>
          <w:tcPr>
            <w:tcW w:w="4750" w:type="dxa"/>
          </w:tcPr>
          <w:p w14:paraId="5F72EF37" w14:textId="77777777" w:rsidR="0083508C" w:rsidRDefault="0083508C" w:rsidP="00F35766">
            <w:r>
              <w:t xml:space="preserve">This </w:t>
            </w:r>
            <w:r w:rsidR="00F35766">
              <w:t>was</w:t>
            </w:r>
            <w:r>
              <w:t xml:space="preserve"> agreed with 5 of the 7 schemes and </w:t>
            </w:r>
            <w:r w:rsidR="00F35766">
              <w:t>has been</w:t>
            </w:r>
            <w:r>
              <w:t xml:space="preserve"> included in the final </w:t>
            </w:r>
            <w:r w:rsidR="00F35766">
              <w:t xml:space="preserve">evaluation report; it has also been confirmed by ECC that this evidence against these outcomes will be </w:t>
            </w:r>
            <w:r>
              <w:t>integral to future reporting.</w:t>
            </w:r>
          </w:p>
        </w:tc>
      </w:tr>
      <w:tr w:rsidR="0083508C" w14:paraId="4BD2A774"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33CD1F79" w14:textId="77777777" w:rsidR="0083508C" w:rsidRDefault="0083508C" w:rsidP="00B57459">
            <w:r w:rsidRPr="00FF5F8F">
              <w:t>Key Performance Indicators (KPIs) - the</w:t>
            </w:r>
            <w:r>
              <w:t xml:space="preserve">re needs to be a common set of </w:t>
            </w:r>
            <w:r w:rsidRPr="00FF5F8F">
              <w:t>KPIs that link to the outcomes and used by all funded through the Essex CC pr</w:t>
            </w:r>
            <w:r>
              <w:t>ogramme for Social Prescribing.</w:t>
            </w:r>
          </w:p>
        </w:tc>
        <w:tc>
          <w:tcPr>
            <w:tcW w:w="4750" w:type="dxa"/>
          </w:tcPr>
          <w:p w14:paraId="5F3D4025" w14:textId="77777777" w:rsidR="0083508C" w:rsidRDefault="0083508C" w:rsidP="00F35766">
            <w:r>
              <w:t xml:space="preserve">A common set of KPIs has been agreed and will cover all 6 of the </w:t>
            </w:r>
            <w:r w:rsidR="00F35766">
              <w:t>projects in Essex (the Southend project has been terminated)</w:t>
            </w:r>
            <w:r>
              <w:t xml:space="preserve">. </w:t>
            </w:r>
          </w:p>
        </w:tc>
      </w:tr>
      <w:tr w:rsidR="0083508C" w14:paraId="18F0793D" w14:textId="77777777" w:rsidTr="001D0455">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6B6EE913" w14:textId="77777777" w:rsidR="0083508C" w:rsidRPr="00FF5F8F" w:rsidRDefault="0083508C" w:rsidP="00F01BE0">
            <w:pPr>
              <w:rPr>
                <w:b/>
              </w:rPr>
            </w:pPr>
            <w:r w:rsidRPr="00FF5F8F">
              <w:rPr>
                <w:b/>
              </w:rPr>
              <w:t>Performance</w:t>
            </w:r>
          </w:p>
        </w:tc>
      </w:tr>
      <w:tr w:rsidR="0083508C" w14:paraId="6FD240BA"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5C67CC09" w14:textId="77777777" w:rsidR="0083508C" w:rsidRDefault="0083508C" w:rsidP="00B57459">
            <w:r w:rsidRPr="00FF5F8F">
              <w:t>Delivery Targets – the delivery targets for the last 6 months to March 2017 should be reconsidered as the initial targets set in the business case were somewhat unrealistic and set at the time when the locality Social Prescribing models unclear. Each locality should project revised targets for the next 6 months and agree these with Essex County Council by mid-November 2016. These should also take into account the individual / varying characteristics of the cohort in each locality</w:t>
            </w:r>
          </w:p>
        </w:tc>
        <w:tc>
          <w:tcPr>
            <w:tcW w:w="4750" w:type="dxa"/>
          </w:tcPr>
          <w:p w14:paraId="150B5BED" w14:textId="77777777" w:rsidR="0083508C" w:rsidRDefault="00F35766" w:rsidP="00F35766">
            <w:r>
              <w:t>Future t</w:t>
            </w:r>
            <w:r w:rsidR="0083508C">
              <w:t xml:space="preserve">argets </w:t>
            </w:r>
            <w:r>
              <w:t xml:space="preserve">have </w:t>
            </w:r>
            <w:r w:rsidR="00916843">
              <w:t xml:space="preserve">now </w:t>
            </w:r>
            <w:r>
              <w:t>been</w:t>
            </w:r>
            <w:r w:rsidR="0083508C">
              <w:t xml:space="preserve"> revised to reflect the approach in each locality.</w:t>
            </w:r>
          </w:p>
        </w:tc>
      </w:tr>
      <w:tr w:rsidR="0083508C" w14:paraId="644652CC" w14:textId="77777777" w:rsidTr="001D0455">
        <w:trPr>
          <w:cnfStyle w:val="000000100000" w:firstRow="0" w:lastRow="0" w:firstColumn="0" w:lastColumn="0" w:oddVBand="0" w:evenVBand="0" w:oddHBand="1" w:evenHBand="0" w:firstRowFirstColumn="0" w:firstRowLastColumn="0" w:lastRowFirstColumn="0" w:lastRowLastColumn="0"/>
        </w:trPr>
        <w:tc>
          <w:tcPr>
            <w:tcW w:w="4884" w:type="dxa"/>
          </w:tcPr>
          <w:p w14:paraId="700A1129" w14:textId="77777777" w:rsidR="0083508C" w:rsidRDefault="0083508C" w:rsidP="00A9450E">
            <w:r w:rsidRPr="00FF5F8F">
              <w:t>Demonstrating Value for Money – cost per participant is one measure to demonstrate value for money however each locality should consider other ways in which they could demonstrate this for the final evaluation</w:t>
            </w:r>
          </w:p>
        </w:tc>
        <w:tc>
          <w:tcPr>
            <w:tcW w:w="4750" w:type="dxa"/>
          </w:tcPr>
          <w:p w14:paraId="4D4139D2" w14:textId="77777777" w:rsidR="0083508C" w:rsidRDefault="0083508C" w:rsidP="00F01BE0">
            <w:r>
              <w:t>The current varied data collection system has been revised to provide a more consistent approach. Additionally, the findings in the interim report were further investigat</w:t>
            </w:r>
            <w:r w:rsidR="00F35766">
              <w:t>ed</w:t>
            </w:r>
            <w:r>
              <w:t xml:space="preserve">, revealing a lack of co-ordination between agencies, lack of trust and poor penetration in the marketing of this ‘service’. Low referrals from GP services were deemed unacceptable, especially where only a few GP practices were enrolled onto the local scheme. The Mid Essex population-wide approach, which provides an opportunity to train </w:t>
            </w:r>
            <w:r w:rsidR="00426E1D">
              <w:t>SPCs</w:t>
            </w:r>
            <w:r>
              <w:t xml:space="preserve"> across a wider range of partner agencies, has been more successful in increasing effective signposting, advice and support.</w:t>
            </w:r>
          </w:p>
          <w:p w14:paraId="5A5404BB" w14:textId="77777777" w:rsidR="0083508C" w:rsidRDefault="0083508C" w:rsidP="00F01BE0">
            <w:r>
              <w:t xml:space="preserve">Wider social and health outcomes should be recorded where this is feasible and realistic. </w:t>
            </w:r>
          </w:p>
        </w:tc>
      </w:tr>
      <w:tr w:rsidR="0083508C" w14:paraId="66517BD4"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78E34648" w14:textId="77777777" w:rsidR="0083508C" w:rsidRDefault="0083508C" w:rsidP="00F01BE0">
            <w:r w:rsidRPr="00FF5F8F">
              <w:t>Service user feedback – service users should be asked to sign up to be part of the evaluation process at the outset and to agree to be contacted by either in house staff or external evaluators for this specific purpose.</w:t>
            </w:r>
          </w:p>
        </w:tc>
        <w:tc>
          <w:tcPr>
            <w:tcW w:w="4750" w:type="dxa"/>
          </w:tcPr>
          <w:p w14:paraId="420C20C2" w14:textId="77777777" w:rsidR="0083508C" w:rsidRDefault="0083508C" w:rsidP="00F01BE0">
            <w:r>
              <w:t>This proved very challenging and must be embedded as part of the referral process, moving forward.</w:t>
            </w:r>
          </w:p>
        </w:tc>
      </w:tr>
      <w:tr w:rsidR="0083508C" w14:paraId="615F8586" w14:textId="77777777" w:rsidTr="001D0455">
        <w:trPr>
          <w:cnfStyle w:val="000000100000" w:firstRow="0" w:lastRow="0" w:firstColumn="0" w:lastColumn="0" w:oddVBand="0" w:evenVBand="0" w:oddHBand="1" w:evenHBand="0" w:firstRowFirstColumn="0" w:firstRowLastColumn="0" w:lastRowFirstColumn="0" w:lastRowLastColumn="0"/>
        </w:trPr>
        <w:tc>
          <w:tcPr>
            <w:tcW w:w="9634" w:type="dxa"/>
            <w:gridSpan w:val="2"/>
          </w:tcPr>
          <w:p w14:paraId="5F086D8C" w14:textId="77777777" w:rsidR="0083508C" w:rsidRPr="00FF5F8F" w:rsidRDefault="0083508C" w:rsidP="00F01BE0">
            <w:pPr>
              <w:rPr>
                <w:b/>
              </w:rPr>
            </w:pPr>
            <w:r w:rsidRPr="00FF5F8F">
              <w:rPr>
                <w:b/>
              </w:rPr>
              <w:t>Monitoring</w:t>
            </w:r>
          </w:p>
        </w:tc>
      </w:tr>
      <w:tr w:rsidR="0083508C" w14:paraId="45D22C42"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28925493" w14:textId="78488D90" w:rsidR="0083508C" w:rsidRDefault="0083508C" w:rsidP="001D0455">
            <w:pPr>
              <w:pStyle w:val="TableParagraph"/>
            </w:pPr>
            <w:r>
              <w:t xml:space="preserve">Monitoring – a standard </w:t>
            </w:r>
            <w:r w:rsidRPr="00AE7967">
              <w:t>mo</w:t>
            </w:r>
            <w:r>
              <w:t>nitoring and reporting template</w:t>
            </w:r>
            <w:r w:rsidRPr="00AE7967">
              <w:t xml:space="preserve"> should be put in place across all projects to allow for </w:t>
            </w:r>
            <w:r>
              <w:t>reporting at programme level</w:t>
            </w:r>
            <w:r w:rsidRPr="00AE7967">
              <w:t xml:space="preserve">.   </w:t>
            </w:r>
            <w:r w:rsidR="00E04B62">
              <w:t>A</w:t>
            </w:r>
            <w:r>
              <w:t>t minimum this should include fortnightly figures relating to:</w:t>
            </w:r>
          </w:p>
          <w:p w14:paraId="10C35EA7" w14:textId="77777777" w:rsidR="0083508C" w:rsidRDefault="0083508C" w:rsidP="00F01BE0">
            <w:pPr>
              <w:pStyle w:val="Tablebullet"/>
            </w:pPr>
            <w:r>
              <w:t>Participant / Service Users (new and cumulative to date)</w:t>
            </w:r>
          </w:p>
          <w:p w14:paraId="3212D894" w14:textId="77777777" w:rsidR="0083508C" w:rsidRDefault="0083508C" w:rsidP="00F01BE0">
            <w:pPr>
              <w:pStyle w:val="Tablebullet"/>
            </w:pPr>
            <w:r>
              <w:t>Project spend (cumulative to date)</w:t>
            </w:r>
          </w:p>
          <w:p w14:paraId="180B6A2E" w14:textId="77777777" w:rsidR="0083508C" w:rsidRDefault="0083508C" w:rsidP="00F01BE0">
            <w:pPr>
              <w:pStyle w:val="Tablebullet"/>
            </w:pPr>
            <w:r>
              <w:t>Number of volunteers (new and cumulative to date)</w:t>
            </w:r>
          </w:p>
          <w:p w14:paraId="08F513F9" w14:textId="77777777" w:rsidR="0083508C" w:rsidRDefault="0083508C" w:rsidP="00F01BE0">
            <w:pPr>
              <w:pStyle w:val="Tablebullet"/>
              <w:rPr>
                <w:lang w:val="en-GB"/>
              </w:rPr>
            </w:pPr>
            <w:r w:rsidRPr="00FF5F8F">
              <w:rPr>
                <w:lang w:val="en-GB"/>
              </w:rPr>
              <w:t>Number of service users that have provided consent to complete a baseline survey (and number completed for those delivery organisations that are completing these)</w:t>
            </w:r>
          </w:p>
          <w:p w14:paraId="3D0BDFD8" w14:textId="77777777" w:rsidR="001D0455" w:rsidRDefault="001D0455" w:rsidP="001D0455">
            <w:pPr>
              <w:pStyle w:val="TableParagraph"/>
            </w:pPr>
          </w:p>
          <w:p w14:paraId="0B9737A4" w14:textId="77777777" w:rsidR="001D0455" w:rsidRPr="00FF5F8F" w:rsidRDefault="001D0455" w:rsidP="001D0455">
            <w:pPr>
              <w:pStyle w:val="TableParagraph"/>
            </w:pPr>
          </w:p>
        </w:tc>
        <w:tc>
          <w:tcPr>
            <w:tcW w:w="4750" w:type="dxa"/>
          </w:tcPr>
          <w:p w14:paraId="433E3DB5" w14:textId="4E532048" w:rsidR="0083508C" w:rsidRDefault="0083508C" w:rsidP="00E04B62">
            <w:r>
              <w:t xml:space="preserve">A standard monitoring dataset was agreed and included in the new contractual agreements (see attached </w:t>
            </w:r>
            <w:r w:rsidRPr="00720CC0">
              <w:t xml:space="preserve">Appendix </w:t>
            </w:r>
            <w:r w:rsidR="00E04B62">
              <w:t>3</w:t>
            </w:r>
            <w:r>
              <w:t>).</w:t>
            </w:r>
          </w:p>
        </w:tc>
      </w:tr>
      <w:tr w:rsidR="0083508C" w14:paraId="2B0B12BA" w14:textId="77777777" w:rsidTr="001D0455">
        <w:trPr>
          <w:cnfStyle w:val="000000100000" w:firstRow="0" w:lastRow="0" w:firstColumn="0" w:lastColumn="0" w:oddVBand="0" w:evenVBand="0" w:oddHBand="1" w:evenHBand="0" w:firstRowFirstColumn="0" w:firstRowLastColumn="0" w:lastRowFirstColumn="0" w:lastRowLastColumn="0"/>
        </w:trPr>
        <w:tc>
          <w:tcPr>
            <w:tcW w:w="4884" w:type="dxa"/>
          </w:tcPr>
          <w:p w14:paraId="2AF8C236" w14:textId="77777777" w:rsidR="0083508C" w:rsidRPr="00FF5F8F" w:rsidRDefault="0083508C" w:rsidP="00F01BE0">
            <w:pPr>
              <w:rPr>
                <w:b/>
              </w:rPr>
            </w:pPr>
            <w:r w:rsidRPr="00FF5F8F">
              <w:rPr>
                <w:b/>
              </w:rPr>
              <w:t>Shared Learning</w:t>
            </w:r>
          </w:p>
        </w:tc>
        <w:tc>
          <w:tcPr>
            <w:tcW w:w="4750" w:type="dxa"/>
          </w:tcPr>
          <w:p w14:paraId="243F4A1D" w14:textId="77777777" w:rsidR="0083508C" w:rsidRDefault="0083508C" w:rsidP="00F01BE0"/>
        </w:tc>
      </w:tr>
      <w:tr w:rsidR="0083508C" w14:paraId="5A0A91F0" w14:textId="77777777" w:rsidTr="001D0455">
        <w:trPr>
          <w:cnfStyle w:val="000000010000" w:firstRow="0" w:lastRow="0" w:firstColumn="0" w:lastColumn="0" w:oddVBand="0" w:evenVBand="0" w:oddHBand="0" w:evenHBand="1" w:firstRowFirstColumn="0" w:firstRowLastColumn="0" w:lastRowFirstColumn="0" w:lastRowLastColumn="0"/>
        </w:trPr>
        <w:tc>
          <w:tcPr>
            <w:tcW w:w="4884" w:type="dxa"/>
          </w:tcPr>
          <w:p w14:paraId="62DA3B64" w14:textId="77777777" w:rsidR="0083508C" w:rsidRDefault="0083508C" w:rsidP="00F01BE0">
            <w:r>
              <w:t>T</w:t>
            </w:r>
            <w:r w:rsidRPr="00FF5F8F">
              <w:t>here is need to build on the existing shared learning across the delivery bodies in order to ensure the outcomes delivered over the remaining 5-6 months can be maximised.</w:t>
            </w:r>
          </w:p>
        </w:tc>
        <w:tc>
          <w:tcPr>
            <w:tcW w:w="4750" w:type="dxa"/>
          </w:tcPr>
          <w:p w14:paraId="692552A7" w14:textId="77777777" w:rsidR="0083508C" w:rsidRDefault="0083508C" w:rsidP="00F01BE0">
            <w:r>
              <w:t>The Social Prescribing Network has enabled some of this, starting with a Workshop which agreed key principles and direction of travel</w:t>
            </w:r>
            <w:r w:rsidR="005F6CF6">
              <w:t>.</w:t>
            </w:r>
          </w:p>
          <w:p w14:paraId="57E0BD03" w14:textId="660A439E" w:rsidR="0083508C" w:rsidRDefault="0083508C" w:rsidP="00F01BE0">
            <w:r>
              <w:t>A new model for delivering the Social Prescribing Programme was agreed and was rolled out from April 2017, with a single point of referral for participating agencies.</w:t>
            </w:r>
          </w:p>
          <w:p w14:paraId="63C00EF4" w14:textId="77777777" w:rsidR="0083508C" w:rsidRDefault="0083508C" w:rsidP="00292879">
            <w:r>
              <w:t xml:space="preserve">Additionally, </w:t>
            </w:r>
            <w:r w:rsidR="00F35766">
              <w:t>following publication of the final report,</w:t>
            </w:r>
            <w:r>
              <w:t xml:space="preserve"> the Essex Social Prescribing Network will be reconstituted to share good practice and successful o</w:t>
            </w:r>
            <w:r w:rsidR="00F35766">
              <w:t xml:space="preserve">utcomes (good news story-book) and will </w:t>
            </w:r>
            <w:r>
              <w:t xml:space="preserve">endeavour to share good practice in Essex with other areas within the Regional Social Prescribing Forum. </w:t>
            </w:r>
          </w:p>
        </w:tc>
      </w:tr>
    </w:tbl>
    <w:p w14:paraId="628D8239" w14:textId="77777777" w:rsidR="0083508C" w:rsidRDefault="007208F2" w:rsidP="007208F2">
      <w:pPr>
        <w:pStyle w:val="Quote"/>
      </w:pPr>
      <w:r>
        <w:t>Source: RSM PACEC (2016) Evaluation of Social Prescribing Models Across Essex: Interim Evaluation / Information provided to RSM PACEC by ECC (June 2017)</w:t>
      </w:r>
    </w:p>
    <w:p w14:paraId="69C99CF8" w14:textId="77777777" w:rsidR="00F35766" w:rsidRDefault="00F35766" w:rsidP="00F35766">
      <w:pPr>
        <w:pStyle w:val="Heading2"/>
      </w:pPr>
      <w:bookmarkStart w:id="76" w:name="_Toc497934301"/>
      <w:r>
        <w:t>Summary</w:t>
      </w:r>
      <w:bookmarkEnd w:id="76"/>
    </w:p>
    <w:p w14:paraId="39DCB518" w14:textId="31261FC1" w:rsidR="00F35766" w:rsidRPr="0083508C" w:rsidRDefault="00F35766" w:rsidP="00AE785D">
      <w:pPr>
        <w:pStyle w:val="BodyText-parastyle"/>
      </w:pPr>
      <w:r>
        <w:t>The development of the Social Prescribing pilot models has enabled a range of approaches to be tried and tested and has resulted in learning that is now being used to help inform the futur</w:t>
      </w:r>
      <w:r w:rsidR="00720CC0">
        <w:t xml:space="preserve">e development of a local model. </w:t>
      </w:r>
      <w:r w:rsidR="001A4AA5">
        <w:t xml:space="preserve">Going forward, the Essex Social Prescribing model will </w:t>
      </w:r>
      <w:r w:rsidR="00292879">
        <w:t>have</w:t>
      </w:r>
      <w:r w:rsidR="00292879" w:rsidRPr="001A4AA5">
        <w:t xml:space="preserve"> a single point of access for GPs </w:t>
      </w:r>
      <w:r w:rsidR="00292879">
        <w:t xml:space="preserve">and </w:t>
      </w:r>
      <w:r w:rsidR="001A4AA5">
        <w:t xml:space="preserve">involve a </w:t>
      </w:r>
      <w:r w:rsidR="001A4AA5" w:rsidRPr="001A4AA5">
        <w:t>whole population approach / ‘wrap around’ service</w:t>
      </w:r>
      <w:r w:rsidR="00292879">
        <w:t>.</w:t>
      </w:r>
      <w:r w:rsidR="006D4128">
        <w:t xml:space="preserve"> </w:t>
      </w:r>
      <w:r w:rsidR="00292879">
        <w:t>T</w:t>
      </w:r>
      <w:r w:rsidR="001A4AA5" w:rsidRPr="001A4AA5">
        <w:t>he West Essex Care Navigation Partnership was launched on 1st April 2017</w:t>
      </w:r>
      <w:r w:rsidR="001A4AA5">
        <w:rPr>
          <w:rStyle w:val="FootnoteReference"/>
        </w:rPr>
        <w:footnoteReference w:id="115"/>
      </w:r>
      <w:r w:rsidR="001A4AA5">
        <w:t xml:space="preserve"> </w:t>
      </w:r>
      <w:r w:rsidR="00292879">
        <w:t xml:space="preserve">which has started this approach. </w:t>
      </w:r>
      <w:r w:rsidR="001A4AA5">
        <w:t xml:space="preserve"> It is expected that the approach will provide a greater return on investment as when looking at cost per case ‘population wide’ approaches have a lower cost per case compared to those dependent on GP referrals (see section </w:t>
      </w:r>
      <w:r w:rsidR="003702C8">
        <w:t>8</w:t>
      </w:r>
      <w:r w:rsidR="005F6CF6">
        <w:t xml:space="preserve">.4). </w:t>
      </w:r>
      <w:r>
        <w:t>It is evident that the key recommendations from the interim report have been used to info</w:t>
      </w:r>
      <w:r w:rsidR="001A4AA5">
        <w:t>rm the metrics and processes to support its implementation and ensure there are consistent processes for systematic data collection going forward</w:t>
      </w:r>
      <w:r w:rsidR="003C333D">
        <w:t>,</w:t>
      </w:r>
      <w:r w:rsidR="001A4AA5">
        <w:t xml:space="preserve"> as while </w:t>
      </w:r>
      <w:r w:rsidR="001A4AA5" w:rsidRPr="001A4AA5">
        <w:t>S</w:t>
      </w:r>
      <w:r w:rsidR="001A4AA5">
        <w:t xml:space="preserve">ocial </w:t>
      </w:r>
      <w:r w:rsidR="001A4AA5" w:rsidRPr="001A4AA5">
        <w:t>P</w:t>
      </w:r>
      <w:r w:rsidR="001A4AA5">
        <w:t>rescribing</w:t>
      </w:r>
      <w:r w:rsidR="001A4AA5" w:rsidRPr="001A4AA5">
        <w:t xml:space="preserve"> is wider than only stopping people going into hospital</w:t>
      </w:r>
      <w:r w:rsidR="003C333D">
        <w:t>,</w:t>
      </w:r>
      <w:r w:rsidR="001A4AA5" w:rsidRPr="001A4AA5">
        <w:t xml:space="preserve"> new models will need to collect evidence of the impact on primary and secondary care</w:t>
      </w:r>
      <w:r w:rsidR="001A4AA5">
        <w:t xml:space="preserve"> in order to demonstrate a return on investment for commissioners. </w:t>
      </w:r>
    </w:p>
    <w:p w14:paraId="631C2013" w14:textId="340A78A1" w:rsidR="00D315F9" w:rsidRDefault="00D315F9" w:rsidP="006C34B6">
      <w:pPr>
        <w:pStyle w:val="Heading1"/>
        <w:keepNext w:val="0"/>
        <w:keepLines w:val="0"/>
        <w:numPr>
          <w:ilvl w:val="0"/>
          <w:numId w:val="1"/>
        </w:numPr>
        <w:spacing w:before="240" w:line="288" w:lineRule="auto"/>
        <w:ind w:left="709" w:hanging="709"/>
      </w:pPr>
      <w:bookmarkStart w:id="77" w:name="_Toc497934302"/>
      <w:r>
        <w:t>Conclusions and Recommendations</w:t>
      </w:r>
      <w:bookmarkEnd w:id="77"/>
      <w:r>
        <w:t xml:space="preserve"> </w:t>
      </w:r>
    </w:p>
    <w:p w14:paraId="4907683F" w14:textId="77777777" w:rsidR="00D315F9" w:rsidRDefault="00D315F9" w:rsidP="00D315F9">
      <w:pPr>
        <w:pStyle w:val="Heading2"/>
      </w:pPr>
      <w:bookmarkStart w:id="78" w:name="_Toc497934303"/>
      <w:r>
        <w:t>Introduction</w:t>
      </w:r>
      <w:bookmarkEnd w:id="78"/>
    </w:p>
    <w:p w14:paraId="3C370F94" w14:textId="77777777" w:rsidR="00962B74" w:rsidRPr="004C31FA" w:rsidRDefault="00962B74" w:rsidP="00AE785D">
      <w:pPr>
        <w:pStyle w:val="BodyText-parastyle"/>
      </w:pPr>
      <w:r w:rsidRPr="004C31FA">
        <w:t xml:space="preserve">This report </w:t>
      </w:r>
      <w:r>
        <w:t xml:space="preserve">provides </w:t>
      </w:r>
      <w:r w:rsidRPr="004C31FA">
        <w:t>an assessment of the economic and social impact of the pilot Social Prescribing mo</w:t>
      </w:r>
      <w:r w:rsidRPr="00962B74">
        <w:rPr>
          <w:rStyle w:val="BodyText-parastyleChar"/>
        </w:rPr>
        <w:t>dels across Essex during the period March 2015 – March 2017.</w:t>
      </w:r>
      <w:r w:rsidRPr="00962B74">
        <w:rPr>
          <w:rStyle w:val="BodyText-parastyleChar"/>
        </w:rPr>
        <w:footnoteReference w:id="116"/>
      </w:r>
      <w:r w:rsidRPr="00962B74">
        <w:rPr>
          <w:rStyle w:val="BodyText-parastyleChar"/>
        </w:rPr>
        <w:t xml:space="preserve"> It builds on an earlier interim</w:t>
      </w:r>
      <w:r w:rsidRPr="004C31FA">
        <w:t xml:space="preserve"> evaluation report whi</w:t>
      </w:r>
      <w:r>
        <w:t xml:space="preserve">ch identified strengths </w:t>
      </w:r>
      <w:r w:rsidRPr="004C31FA">
        <w:t>and key areas for development during the remaining months of the programme.</w:t>
      </w:r>
    </w:p>
    <w:p w14:paraId="275D80AD" w14:textId="77777777" w:rsidR="00962B74" w:rsidRPr="00A24705" w:rsidRDefault="00962B74" w:rsidP="00AE785D">
      <w:pPr>
        <w:pStyle w:val="BodyText-parastyle"/>
        <w:rPr>
          <w:sz w:val="28"/>
        </w:rPr>
      </w:pPr>
      <w:bookmarkStart w:id="79" w:name="_Toc485939810"/>
      <w:r w:rsidRPr="004C31FA">
        <w:t xml:space="preserve">Social Prescribing is still in the early stages of development in Essex and the pilot projects </w:t>
      </w:r>
      <w:r>
        <w:t xml:space="preserve">have provided useful evidence and learning that can be used </w:t>
      </w:r>
      <w:r w:rsidRPr="004C31FA">
        <w:t>to inform the development of an Essex wide model</w:t>
      </w:r>
      <w:r>
        <w:t xml:space="preserve"> for 2017/18</w:t>
      </w:r>
      <w:r w:rsidRPr="004C31FA">
        <w:t xml:space="preserve">.  </w:t>
      </w:r>
      <w:bookmarkStart w:id="80" w:name="_Toc486798274"/>
    </w:p>
    <w:p w14:paraId="491E3381" w14:textId="2350B985" w:rsidR="00962B74" w:rsidRDefault="00962B74" w:rsidP="00C9279B">
      <w:pPr>
        <w:pStyle w:val="Heading2"/>
      </w:pPr>
      <w:bookmarkStart w:id="81" w:name="_Toc497934304"/>
      <w:bookmarkEnd w:id="79"/>
      <w:bookmarkEnd w:id="80"/>
      <w:r w:rsidRPr="004C31FA">
        <w:t>Referrals</w:t>
      </w:r>
      <w:bookmarkEnd w:id="81"/>
    </w:p>
    <w:p w14:paraId="4E3E5948" w14:textId="77777777" w:rsidR="00170B6B" w:rsidRDefault="00170B6B" w:rsidP="00170B6B">
      <w:pPr>
        <w:pStyle w:val="BodyText-parastyle"/>
      </w:pPr>
      <w:r>
        <w:t xml:space="preserve">Referral levels in some projects were significantly lower than the targets agreed in individual grant agreements / SLAs. </w:t>
      </w:r>
      <w:r w:rsidRPr="004C31FA">
        <w:t xml:space="preserve">Overall </w:t>
      </w:r>
      <w:r>
        <w:t>4,951</w:t>
      </w:r>
      <w:r w:rsidRPr="004C31FA">
        <w:t xml:space="preserve"> </w:t>
      </w:r>
      <w:r>
        <w:t>‘</w:t>
      </w:r>
      <w:r w:rsidRPr="004C31FA">
        <w:t>referrals in</w:t>
      </w:r>
      <w:r>
        <w:t>’</w:t>
      </w:r>
      <w:r>
        <w:rPr>
          <w:rStyle w:val="FootnoteReference"/>
        </w:rPr>
        <w:footnoteReference w:id="117"/>
      </w:r>
      <w:r w:rsidRPr="004C31FA">
        <w:t xml:space="preserve"> were made across </w:t>
      </w:r>
      <w:r>
        <w:t>five</w:t>
      </w:r>
      <w:r w:rsidRPr="004C31FA">
        <w:t xml:space="preserve"> Social Prescribing projects</w:t>
      </w:r>
      <w:r>
        <w:t>.</w:t>
      </w:r>
      <w:r w:rsidRPr="004C31FA">
        <w:rPr>
          <w:vertAlign w:val="superscript"/>
        </w:rPr>
        <w:footnoteReference w:id="118"/>
      </w:r>
      <w:r w:rsidRPr="004C31FA">
        <w:t xml:space="preserve"> </w:t>
      </w:r>
      <w:r>
        <w:t xml:space="preserve">This exceeds their combined target of </w:t>
      </w:r>
      <w:r w:rsidRPr="00E06506">
        <w:t>3,286</w:t>
      </w:r>
      <w:r>
        <w:t xml:space="preserve">, however while some projects exceeded their referral target (Mid Essex and North East (My Social Prescription)) other projects did not (Basildon and Brentwood and Castle Point and Rochford). No referral target was set for West Essex by the CCG however it received 510 referrals. </w:t>
      </w:r>
    </w:p>
    <w:p w14:paraId="48F3EF08" w14:textId="77777777" w:rsidR="00170B6B" w:rsidRDefault="00170B6B" w:rsidP="00170B6B">
      <w:pPr>
        <w:pStyle w:val="BodyText-parastyle"/>
      </w:pPr>
      <w:r w:rsidRPr="004C31FA">
        <w:t>Obtaining referrals from GPs</w:t>
      </w:r>
      <w:r>
        <w:t xml:space="preserve"> was a challenge reported by most of the</w:t>
      </w:r>
      <w:r w:rsidRPr="004C31FA">
        <w:t xml:space="preserve"> projects</w:t>
      </w:r>
      <w:r>
        <w:t xml:space="preserve">. </w:t>
      </w:r>
      <w:r w:rsidRPr="004C31FA">
        <w:t xml:space="preserve"> </w:t>
      </w:r>
      <w:r>
        <w:t>Two key approaches were used to encourage referrals:</w:t>
      </w:r>
    </w:p>
    <w:p w14:paraId="5125D182" w14:textId="77777777" w:rsidR="00170B6B" w:rsidRDefault="00170B6B" w:rsidP="00170B6B">
      <w:pPr>
        <w:pStyle w:val="ListParagraph"/>
      </w:pPr>
      <w:r>
        <w:rPr>
          <w:lang w:val="en-GB" w:eastAsia="en-GB"/>
        </w:rPr>
        <w:t>A Personal Independence Planner (PIC)</w:t>
      </w:r>
      <w:r w:rsidRPr="004C31FA">
        <w:rPr>
          <w:lang w:val="en-GB" w:eastAsia="en-GB"/>
        </w:rPr>
        <w:t xml:space="preserve"> </w:t>
      </w:r>
      <w:r>
        <w:rPr>
          <w:lang w:val="en-GB" w:eastAsia="en-GB"/>
        </w:rPr>
        <w:t xml:space="preserve">joined </w:t>
      </w:r>
      <w:r w:rsidRPr="004C31FA">
        <w:rPr>
          <w:lang w:val="en-GB" w:eastAsia="en-GB"/>
        </w:rPr>
        <w:t>M</w:t>
      </w:r>
      <w:r>
        <w:rPr>
          <w:lang w:val="en-GB" w:eastAsia="en-GB"/>
        </w:rPr>
        <w:t xml:space="preserve">ulti-Disciplinary team (MDT) </w:t>
      </w:r>
      <w:r w:rsidRPr="004C31FA">
        <w:rPr>
          <w:lang w:val="en-GB" w:eastAsia="en-GB"/>
        </w:rPr>
        <w:t xml:space="preserve">meetings </w:t>
      </w:r>
      <w:r>
        <w:rPr>
          <w:lang w:val="en-GB" w:eastAsia="en-GB"/>
        </w:rPr>
        <w:t xml:space="preserve">and detailed how Social Prescribing could help clients to the team to encourage referrals of relevant cases. This was used in the West Essex model and staff in these practices </w:t>
      </w:r>
      <w:r w:rsidRPr="005478E1">
        <w:t>noted that they value</w:t>
      </w:r>
      <w:r>
        <w:t xml:space="preserve">d this approach. They also noted that they valued the </w:t>
      </w:r>
      <w:r w:rsidRPr="005478E1">
        <w:t>updates provided on those they ha</w:t>
      </w:r>
      <w:r>
        <w:t>d</w:t>
      </w:r>
      <w:r w:rsidRPr="005478E1">
        <w:t xml:space="preserve"> referred and felt that having the PIC as part of the MDT meeting</w:t>
      </w:r>
      <w:r>
        <w:t>s</w:t>
      </w:r>
      <w:r w:rsidRPr="005478E1">
        <w:t xml:space="preserve"> ensured there was good communication to find the best</w:t>
      </w:r>
      <w:r>
        <w:t xml:space="preserve"> </w:t>
      </w:r>
      <w:r w:rsidRPr="005478E1">
        <w:t>solution for patients. This was also highlighted as beneficial by the PIC who stated that being part of the monthly MDT meetings at each surgery “was pivotal to integrating Smart Life into the practices”.</w:t>
      </w:r>
    </w:p>
    <w:p w14:paraId="32E34CA2" w14:textId="77777777" w:rsidR="00170B6B" w:rsidRPr="00ED58F0" w:rsidRDefault="00170B6B" w:rsidP="00170B6B">
      <w:pPr>
        <w:pStyle w:val="ListParagraph"/>
      </w:pPr>
      <w:r>
        <w:rPr>
          <w:lang w:val="en-GB" w:eastAsia="en-GB"/>
        </w:rPr>
        <w:t xml:space="preserve">Use of SystmOne – this was used in the Mid Essex model for the level 2 service. It involved having Social Prescribing integrated into the GP systems therefore allowing them to refer patients quickly and easily. As a result the </w:t>
      </w:r>
      <w:r w:rsidRPr="002620CA">
        <w:rPr>
          <w:lang w:val="en-GB" w:eastAsia="en-GB"/>
        </w:rPr>
        <w:t xml:space="preserve">project successfully increased referrals </w:t>
      </w:r>
      <w:r>
        <w:rPr>
          <w:lang w:val="en-GB" w:eastAsia="en-GB"/>
        </w:rPr>
        <w:t xml:space="preserve">by </w:t>
      </w:r>
      <w:r w:rsidRPr="00C507BA">
        <w:rPr>
          <w:lang w:val="en-GB" w:eastAsia="en-GB"/>
        </w:rPr>
        <w:t xml:space="preserve">1,252 </w:t>
      </w:r>
      <w:r>
        <w:rPr>
          <w:lang w:val="en-GB" w:eastAsia="en-GB"/>
        </w:rPr>
        <w:t>(</w:t>
      </w:r>
      <w:r w:rsidRPr="00C507BA">
        <w:rPr>
          <w:lang w:val="en-GB" w:eastAsia="en-GB"/>
        </w:rPr>
        <w:t>of a total 1,491 referrals</w:t>
      </w:r>
      <w:r>
        <w:rPr>
          <w:lang w:val="en-GB" w:eastAsia="en-GB"/>
        </w:rPr>
        <w:t xml:space="preserve"> therefore 84%)</w:t>
      </w:r>
      <w:r w:rsidRPr="00C507BA">
        <w:rPr>
          <w:lang w:val="en-GB" w:eastAsia="en-GB"/>
        </w:rPr>
        <w:t xml:space="preserve"> via SystmOne</w:t>
      </w:r>
      <w:r>
        <w:rPr>
          <w:lang w:val="en-GB" w:eastAsia="en-GB"/>
        </w:rPr>
        <w:t xml:space="preserve">. </w:t>
      </w:r>
    </w:p>
    <w:p w14:paraId="54FFA59D" w14:textId="77777777" w:rsidR="00170B6B" w:rsidRDefault="00170B6B" w:rsidP="00170B6B">
      <w:pPr>
        <w:pStyle w:val="BodyText-parastyle"/>
      </w:pPr>
      <w:r>
        <w:t xml:space="preserve">A review of Social Prescribing referral approaches used elsewhere noted the importance of consulting with GPs / primary care workers and tailoring the approach used to their individual needs. </w:t>
      </w:r>
      <w:r w:rsidRPr="004C31FA">
        <w:t>For example, in Doncaster</w:t>
      </w:r>
      <w:r>
        <w:rPr>
          <w:rStyle w:val="FootnoteReference"/>
        </w:rPr>
        <w:footnoteReference w:id="119"/>
      </w:r>
      <w:r w:rsidRPr="004C31FA">
        <w:t xml:space="preserve"> GPs were provided with Social Prescribing ‘prescription pads’ as it was identified that GPs were used to writing medical prescriptions and continuing to use this format for non-medical prescriptions was a simple way get GPs referring the project. In addition, the Rotherham Social Prescribing Pilot</w:t>
      </w:r>
      <w:r>
        <w:rPr>
          <w:rStyle w:val="FootnoteReference"/>
        </w:rPr>
        <w:footnoteReference w:id="120"/>
      </w:r>
      <w:r w:rsidRPr="004C31FA">
        <w:t xml:space="preserve"> successfully used an integrated case management approach where the Social Prescribing Navigator was embedded in case management meetings an</w:t>
      </w:r>
      <w:r>
        <w:t>d referrals were made directly. I</w:t>
      </w:r>
      <w:r w:rsidRPr="004C31FA">
        <w:t xml:space="preserve">t was </w:t>
      </w:r>
      <w:r>
        <w:t xml:space="preserve">also </w:t>
      </w:r>
      <w:r w:rsidRPr="004C31FA">
        <w:t xml:space="preserve">highlighted by </w:t>
      </w:r>
      <w:r>
        <w:t xml:space="preserve">Essex Social Prescribing </w:t>
      </w:r>
      <w:r w:rsidRPr="004C31FA">
        <w:t>delivery organisations that a higher number of referrals were received from GP practices that had a ‘GP Champion’ promot</w:t>
      </w:r>
      <w:r>
        <w:t>ing</w:t>
      </w:r>
      <w:r w:rsidRPr="004C31FA">
        <w:t xml:space="preserve"> Social Prescribing to other GPs; this was a key feature of the Rotherham Social Prescribing project</w:t>
      </w:r>
      <w:r>
        <w:t>.</w:t>
      </w:r>
    </w:p>
    <w:p w14:paraId="6E814BCD" w14:textId="77777777" w:rsidR="00170B6B" w:rsidRDefault="00170B6B" w:rsidP="00170B6B">
      <w:pPr>
        <w:pStyle w:val="BodyText-parastyle"/>
      </w:pPr>
      <w:r>
        <w:t>Consultees from the delivery organisations also highlighted that the lower than anticipated number of referrals was a key issue and suggested that:</w:t>
      </w:r>
    </w:p>
    <w:p w14:paraId="7145FA85" w14:textId="77777777" w:rsidR="00170B6B" w:rsidRDefault="00170B6B" w:rsidP="00170B6B">
      <w:pPr>
        <w:pStyle w:val="ListParagraph"/>
        <w:rPr>
          <w:lang w:val="en-GB" w:eastAsia="en-GB"/>
        </w:rPr>
      </w:pPr>
      <w:r>
        <w:rPr>
          <w:lang w:val="en-GB" w:eastAsia="en-GB"/>
        </w:rPr>
        <w:t>Commissioners in the CCGs needed to do more to get Social Prescribing engrained into the everyday work of GPs and primary care staff, this could be ongoing promotion of the benefits of Social Prescribing as well as using incentives to get referrals; and</w:t>
      </w:r>
    </w:p>
    <w:p w14:paraId="24A8B4AF" w14:textId="77777777" w:rsidR="00170B6B" w:rsidRPr="007870D3" w:rsidRDefault="00170B6B" w:rsidP="00170B6B">
      <w:pPr>
        <w:pStyle w:val="ListParagraph"/>
        <w:rPr>
          <w:lang w:val="en-GB" w:eastAsia="en-GB"/>
        </w:rPr>
      </w:pPr>
      <w:r>
        <w:rPr>
          <w:lang w:val="en-GB" w:eastAsia="en-GB"/>
        </w:rPr>
        <w:t>A simple and easy referral process was needed, noting that different processes worked in different areas and therefore communication and involvement between delivery organisations and GPs / primary care staff was key in agreeing these processes.</w:t>
      </w:r>
    </w:p>
    <w:p w14:paraId="7728547E" w14:textId="77777777" w:rsidR="00170B6B" w:rsidRPr="004C31FA" w:rsidRDefault="00170B6B" w:rsidP="00170B6B">
      <w:pPr>
        <w:pStyle w:val="BodyText-parastyle"/>
      </w:pPr>
      <w:r w:rsidRPr="004C31FA">
        <w:rPr>
          <w:b/>
          <w:color w:val="00B0F0"/>
        </w:rPr>
        <w:t>Recommendation:</w:t>
      </w:r>
      <w:r w:rsidRPr="004C31FA">
        <w:rPr>
          <w:color w:val="00B0F0"/>
        </w:rPr>
        <w:t xml:space="preserve"> </w:t>
      </w:r>
      <w:r w:rsidRPr="004C31FA">
        <w:t xml:space="preserve">We recommend that future Social Prescribing projects / models incorporate a range of </w:t>
      </w:r>
      <w:r>
        <w:t xml:space="preserve">GP/ primary care staff </w:t>
      </w:r>
      <w:r w:rsidRPr="004C31FA">
        <w:t xml:space="preserve">referral </w:t>
      </w:r>
      <w:r>
        <w:t xml:space="preserve">pathways, and these should be developed in conjunction with the GPs/ primary care staff to understand what works best for them and build on their existing systems / technology.   </w:t>
      </w:r>
    </w:p>
    <w:p w14:paraId="613E6B72" w14:textId="77777777" w:rsidR="00170B6B" w:rsidRPr="004C31FA" w:rsidRDefault="00170B6B" w:rsidP="00170B6B">
      <w:pPr>
        <w:pStyle w:val="BodyText-parastyle"/>
      </w:pPr>
      <w:r w:rsidRPr="004C31FA">
        <w:rPr>
          <w:b/>
          <w:color w:val="00B0F0"/>
        </w:rPr>
        <w:t>Recommendation:</w:t>
      </w:r>
      <w:r w:rsidRPr="004C31FA">
        <w:t xml:space="preserve"> </w:t>
      </w:r>
      <w:r w:rsidRPr="00333628">
        <w:t>We recommend that co</w:t>
      </w:r>
      <w:r>
        <w:t>nsideration is given to how c</w:t>
      </w:r>
      <w:r w:rsidRPr="00E02724">
        <w:t>ommissioners in the CCGs</w:t>
      </w:r>
      <w:r w:rsidRPr="00333628">
        <w:t xml:space="preserve"> could become more actively involved to promote Social Prescribing</w:t>
      </w:r>
      <w:r>
        <w:t>,</w:t>
      </w:r>
      <w:r w:rsidRPr="00333628">
        <w:t xml:space="preserve"> encourage GPs / primary care staff to make referrals</w:t>
      </w:r>
      <w:r>
        <w:t xml:space="preserve"> and make</w:t>
      </w:r>
      <w:r w:rsidRPr="00333628">
        <w:t xml:space="preserve"> potential users aware of the benefits</w:t>
      </w:r>
      <w:r>
        <w:t>.</w:t>
      </w:r>
    </w:p>
    <w:p w14:paraId="32ACD00D" w14:textId="77777777" w:rsidR="00170B6B" w:rsidRPr="004C31FA" w:rsidRDefault="00170B6B" w:rsidP="00170B6B">
      <w:pPr>
        <w:pStyle w:val="Heading2"/>
      </w:pPr>
      <w:bookmarkStart w:id="82" w:name="_Toc497934305"/>
      <w:r w:rsidRPr="004C31FA">
        <w:t>Targets / KPIs</w:t>
      </w:r>
      <w:bookmarkEnd w:id="82"/>
    </w:p>
    <w:p w14:paraId="2AB6622F" w14:textId="77777777" w:rsidR="00170B6B" w:rsidRDefault="00170B6B" w:rsidP="00170B6B">
      <w:pPr>
        <w:pStyle w:val="BodyText-parastyle"/>
      </w:pPr>
      <w:r>
        <w:t>Evaluation of outcomes at a programme level was difficult as the projects did not collect the same performance information. In addition, n</w:t>
      </w:r>
      <w:r w:rsidRPr="004C31FA">
        <w:t>ot all projects had KPIs that related to each of the outcomes to be measured by the evaluation</w:t>
      </w:r>
      <w:r>
        <w:t xml:space="preserve"> and</w:t>
      </w:r>
      <w:r w:rsidRPr="004C31FA">
        <w:t xml:space="preserve"> in some cases the performance measures set were not SMART</w:t>
      </w:r>
      <w:r>
        <w:t>.</w:t>
      </w:r>
      <w:r w:rsidRPr="004C31FA">
        <w:rPr>
          <w:vertAlign w:val="superscript"/>
        </w:rPr>
        <w:footnoteReference w:id="121"/>
      </w:r>
      <w:r>
        <w:t xml:space="preserve"> </w:t>
      </w:r>
    </w:p>
    <w:p w14:paraId="31E16849" w14:textId="77777777" w:rsidR="00170B6B" w:rsidRDefault="00170B6B" w:rsidP="00170B6B">
      <w:pPr>
        <w:pStyle w:val="BodyText-parastyle"/>
      </w:pPr>
      <w:r>
        <w:t xml:space="preserve">A common set of core KPIs allows for consistency across each area and ensures a focus on the primary outcomes set for the funding (i.e. reduction in use of primary, secondary and social care). </w:t>
      </w:r>
      <w:r w:rsidRPr="0071155F">
        <w:t>It is key that any future funding has outcome measures clearly agreed and evidence collected against these on an ongoing basis.</w:t>
      </w:r>
      <w:r>
        <w:t xml:space="preserve"> If the primary outcomes change, this should be communicated to all projects and the KPIs changed accordingly. The projects may add to the core KPIs with others that are important to their area.  </w:t>
      </w:r>
    </w:p>
    <w:p w14:paraId="2F6A8FBD" w14:textId="77777777" w:rsidR="00170B6B" w:rsidRDefault="00170B6B" w:rsidP="00170B6B">
      <w:pPr>
        <w:pStyle w:val="BodyText-parastyle"/>
      </w:pPr>
      <w:r>
        <w:t>We understand that work has been completed since the Interim Report in October 2016 by ECC to set consistent targets that include primary, secondary and social care</w:t>
      </w:r>
      <w:r w:rsidRPr="00B4686B">
        <w:t xml:space="preserve"> </w:t>
      </w:r>
      <w:r>
        <w:t xml:space="preserve">use </w:t>
      </w:r>
      <w:r w:rsidRPr="00B4686B">
        <w:t>and it is understood all funded projects for 2017/</w:t>
      </w:r>
      <w:r>
        <w:t>1</w:t>
      </w:r>
      <w:r w:rsidRPr="00B4686B">
        <w:t xml:space="preserve">8 </w:t>
      </w:r>
      <w:r>
        <w:t>will be</w:t>
      </w:r>
      <w:r w:rsidRPr="00B4686B">
        <w:t xml:space="preserve"> required to use KPIs linked to programme objectives.  </w:t>
      </w:r>
    </w:p>
    <w:p w14:paraId="2619099F" w14:textId="77777777" w:rsidR="00170B6B" w:rsidRPr="004C31FA" w:rsidRDefault="00170B6B" w:rsidP="00170B6B">
      <w:pPr>
        <w:pStyle w:val="BodyText-parastyle"/>
      </w:pPr>
      <w:r w:rsidRPr="004C31FA">
        <w:rPr>
          <w:b/>
          <w:color w:val="00B0F0"/>
        </w:rPr>
        <w:t>Recommendation:</w:t>
      </w:r>
      <w:r w:rsidRPr="004C31FA">
        <w:t xml:space="preserve"> We </w:t>
      </w:r>
      <w:r>
        <w:t xml:space="preserve">welcome that </w:t>
      </w:r>
      <w:r w:rsidRPr="004C31FA">
        <w:t>future Social Prescribing</w:t>
      </w:r>
      <w:r>
        <w:t xml:space="preserve"> projects across Essex are expected to use the same core</w:t>
      </w:r>
      <w:r w:rsidRPr="004C31FA">
        <w:t xml:space="preserve"> KPIs</w:t>
      </w:r>
      <w:r>
        <w:t>. These</w:t>
      </w:r>
      <w:r w:rsidRPr="004C31FA">
        <w:t xml:space="preserve"> should include the following </w:t>
      </w:r>
      <w:r>
        <w:t xml:space="preserve">at </w:t>
      </w:r>
      <w:r w:rsidRPr="004C31FA">
        <w:t>minimum:</w:t>
      </w:r>
    </w:p>
    <w:p w14:paraId="2992E8F0" w14:textId="77777777" w:rsidR="00170B6B" w:rsidRPr="004C31FA" w:rsidRDefault="00170B6B" w:rsidP="00170B6B">
      <w:pPr>
        <w:pStyle w:val="ListParagraph"/>
      </w:pPr>
      <w:r w:rsidRPr="004C31FA">
        <w:t xml:space="preserve">Inputs – </w:t>
      </w:r>
      <w:r>
        <w:t xml:space="preserve">amount of </w:t>
      </w:r>
      <w:r w:rsidRPr="004C31FA">
        <w:t xml:space="preserve">funding / </w:t>
      </w:r>
      <w:r>
        <w:t xml:space="preserve">number of </w:t>
      </w:r>
      <w:r w:rsidRPr="004C31FA">
        <w:t>staff</w:t>
      </w:r>
      <w:r>
        <w:t>/ other resources involved (i.e. volunteers etc.)</w:t>
      </w:r>
    </w:p>
    <w:p w14:paraId="03FF004E" w14:textId="77777777" w:rsidR="00170B6B" w:rsidRPr="004C31FA" w:rsidRDefault="00170B6B" w:rsidP="00170B6B">
      <w:pPr>
        <w:pStyle w:val="ListParagraph"/>
      </w:pPr>
      <w:r>
        <w:t>Outputs – n</w:t>
      </w:r>
      <w:r w:rsidRPr="004C31FA">
        <w:t>umber of users referred</w:t>
      </w:r>
      <w:r>
        <w:t>; sources of referral; numbers who take up the service; n</w:t>
      </w:r>
      <w:r w:rsidRPr="004C31FA">
        <w:t>umber from the target group (</w:t>
      </w:r>
      <w:r>
        <w:t xml:space="preserve">i.e. numbers using GPs and hospitals where Social Prescribing may be more relevant support) </w:t>
      </w:r>
    </w:p>
    <w:p w14:paraId="68BB5DE4" w14:textId="77777777" w:rsidR="00170B6B" w:rsidRPr="006E5835" w:rsidRDefault="00170B6B" w:rsidP="00170B6B">
      <w:pPr>
        <w:pStyle w:val="ListParagraph"/>
      </w:pPr>
      <w:r>
        <w:t>Outcomes – r</w:t>
      </w:r>
      <w:r w:rsidRPr="004C31FA">
        <w:t>eduction in use of primary/ secondary/ social care (if appropriate); quality of the service provided and health and wellbeing outcomes for those supported (percentage reporting reduced social isolation or percentage reporting increased independence etc. – depending on the target group)</w:t>
      </w:r>
      <w:r>
        <w:t xml:space="preserve">. </w:t>
      </w:r>
    </w:p>
    <w:p w14:paraId="770DDE73" w14:textId="77777777" w:rsidR="00170B6B" w:rsidRDefault="00170B6B" w:rsidP="00170B6B">
      <w:pPr>
        <w:pStyle w:val="Heading2"/>
      </w:pPr>
      <w:bookmarkStart w:id="83" w:name="_Toc497934306"/>
      <w:r w:rsidRPr="004C31FA">
        <w:t>Monitoring</w:t>
      </w:r>
      <w:bookmarkEnd w:id="83"/>
    </w:p>
    <w:p w14:paraId="6A1BCDD2" w14:textId="77777777" w:rsidR="00170B6B" w:rsidRDefault="00170B6B" w:rsidP="00170B6B">
      <w:pPr>
        <w:pStyle w:val="BodyText-parastyle"/>
      </w:pPr>
      <w:r w:rsidRPr="0071155F">
        <w:t xml:space="preserve">A lack of consistent monitoring was identified in the interim Social Prescribing programme report and ECC has carried out work to address the recommendation that a standard monitoring and reporting template should be put in place across all projects. It is </w:t>
      </w:r>
      <w:r>
        <w:t xml:space="preserve">understood that </w:t>
      </w:r>
      <w:r w:rsidRPr="0071155F">
        <w:t xml:space="preserve">all funded projects will </w:t>
      </w:r>
      <w:r>
        <w:t xml:space="preserve">now </w:t>
      </w:r>
      <w:r w:rsidRPr="0071155F">
        <w:t>report against (1) a focus on decreasing primary/ secondary and community care costs; and (2) a whole population approach (i.e. changing behaviours to prevent ill-health in the longer term).</w:t>
      </w:r>
    </w:p>
    <w:p w14:paraId="47B3EECB" w14:textId="77777777" w:rsidR="00170B6B" w:rsidRDefault="00170B6B" w:rsidP="00170B6B">
      <w:pPr>
        <w:pStyle w:val="BodyText-parastyle"/>
      </w:pPr>
      <w:r w:rsidRPr="00E32E21">
        <w:rPr>
          <w:b/>
          <w:color w:val="00B0F0"/>
        </w:rPr>
        <w:t>Recommendation:</w:t>
      </w:r>
      <w:r w:rsidRPr="00E32E21">
        <w:rPr>
          <w:color w:val="00B0F0"/>
        </w:rPr>
        <w:t xml:space="preserve"> </w:t>
      </w:r>
      <w:r w:rsidRPr="00E32E21">
        <w:t>We welcome the implementation of the recommendation from the interim report and</w:t>
      </w:r>
      <w:r>
        <w:t xml:space="preserve"> understand that this will be taken forward into the 2017/18 Social Prescribing programme. We </w:t>
      </w:r>
      <w:r w:rsidRPr="00E32E21">
        <w:t>recommend that performance against target</w:t>
      </w:r>
      <w:r>
        <w:t>s</w:t>
      </w:r>
      <w:r w:rsidRPr="00E32E21">
        <w:t xml:space="preserve"> is assessed </w:t>
      </w:r>
      <w:r>
        <w:t xml:space="preserve">by the CCG / ECC </w:t>
      </w:r>
      <w:r w:rsidRPr="00E32E21">
        <w:t xml:space="preserve">on a monthly basis and mitigating actions to </w:t>
      </w:r>
      <w:r>
        <w:t>ensure</w:t>
      </w:r>
      <w:r w:rsidRPr="00E32E21">
        <w:t xml:space="preserve"> project targets </w:t>
      </w:r>
      <w:r>
        <w:t xml:space="preserve">are delivered </w:t>
      </w:r>
      <w:r w:rsidRPr="00E32E21">
        <w:t>documented. Ideally performance should be linked to payments.</w:t>
      </w:r>
      <w:r>
        <w:t xml:space="preserve">  </w:t>
      </w:r>
    </w:p>
    <w:p w14:paraId="5CDCC519" w14:textId="77777777" w:rsidR="00170B6B" w:rsidRDefault="00170B6B" w:rsidP="00170B6B">
      <w:pPr>
        <w:pStyle w:val="Heading2"/>
      </w:pPr>
      <w:bookmarkStart w:id="84" w:name="_Toc497934307"/>
      <w:r>
        <w:t>Data Collection</w:t>
      </w:r>
      <w:bookmarkEnd w:id="84"/>
      <w:r>
        <w:t xml:space="preserve"> </w:t>
      </w:r>
    </w:p>
    <w:p w14:paraId="1C824ABE" w14:textId="77777777" w:rsidR="00170B6B" w:rsidRDefault="00170B6B" w:rsidP="00170B6B">
      <w:pPr>
        <w:pStyle w:val="BodyText-parastyle"/>
      </w:pPr>
      <w:r>
        <w:t>Evidence of outcomes and cost avoidance is based on self-reported health service use which can be less reliable and i</w:t>
      </w:r>
      <w:r w:rsidRPr="00632194">
        <w:t xml:space="preserve">deally patient-level </w:t>
      </w:r>
      <w:r>
        <w:t>HSC</w:t>
      </w:r>
      <w:r w:rsidRPr="00632194">
        <w:t xml:space="preserve"> data would be used</w:t>
      </w:r>
      <w:r>
        <w:t xml:space="preserve"> to record use of primary, secondary and social care services. This would include </w:t>
      </w:r>
      <w:r w:rsidRPr="00632194">
        <w:t xml:space="preserve">patient-level </w:t>
      </w:r>
      <w:r>
        <w:t xml:space="preserve">data on number of GP appointments attended; prescriptions received; use of counselling and/or mental health services; inpatient admissions; A + E attendances; outpatient appointments; and support received from a social worker/ social care.  </w:t>
      </w:r>
    </w:p>
    <w:p w14:paraId="4D7A1BC3" w14:textId="590D3434" w:rsidR="00170B6B" w:rsidRDefault="00170B6B" w:rsidP="00170B6B">
      <w:pPr>
        <w:pStyle w:val="BodyText-parastyle"/>
      </w:pPr>
      <w:r>
        <w:t xml:space="preserve">Obtaining informed consent from a representative sample of service users to take part in the evaluation was a key challenge. Processes were not initially in place to </w:t>
      </w:r>
      <w:r w:rsidR="00A74A25">
        <w:t>obtain consent from service users</w:t>
      </w:r>
      <w:r>
        <w:t xml:space="preserve"> at the outset of project delivery and as a result not all were invited to take part in the evaluation. Moreover, the time required to develop data collection tools in line with ECC information governance requirements and put in place processes for obtaining consent meant the time period for data collection was shorter than anticipated. </w:t>
      </w:r>
    </w:p>
    <w:p w14:paraId="6087DF48" w14:textId="77777777" w:rsidR="00170B6B" w:rsidRDefault="00170B6B" w:rsidP="00170B6B">
      <w:pPr>
        <w:pStyle w:val="BodyText-parastyle"/>
      </w:pPr>
      <w:r>
        <w:t xml:space="preserve">This </w:t>
      </w:r>
      <w:r w:rsidRPr="00EF4A8E">
        <w:t>impacted on the ro</w:t>
      </w:r>
      <w:r>
        <w:t>bustness of the data collected and a more representative cohort of survey respondents is needed to provide robust evidence of outcomes. It is also necessary to review if the outcomes reported have been sustained and therefore survey respondents or HSC data should be revisited at</w:t>
      </w:r>
      <w:r w:rsidRPr="00632194">
        <w:t xml:space="preserve"> </w:t>
      </w:r>
      <w:r>
        <w:t>6 and</w:t>
      </w:r>
      <w:r w:rsidRPr="00632194">
        <w:t>12 months post referral</w:t>
      </w:r>
      <w:r>
        <w:t>. Follow-up should also be completed</w:t>
      </w:r>
      <w:r w:rsidRPr="00632194">
        <w:t xml:space="preserve"> to </w:t>
      </w:r>
      <w:r>
        <w:t xml:space="preserve">also </w:t>
      </w:r>
      <w:r w:rsidRPr="00632194">
        <w:t>identify outcomes that may not be apparent in the short term.</w:t>
      </w:r>
    </w:p>
    <w:p w14:paraId="578DA605" w14:textId="77777777" w:rsidR="00170B6B" w:rsidRDefault="00170B6B" w:rsidP="00170B6B">
      <w:pPr>
        <w:pStyle w:val="BodyText-parastyle"/>
      </w:pPr>
      <w:r w:rsidRPr="004C31FA">
        <w:rPr>
          <w:b/>
          <w:color w:val="00B0F0"/>
        </w:rPr>
        <w:t>Recommendation:</w:t>
      </w:r>
      <w:r w:rsidRPr="004C31FA">
        <w:t xml:space="preserve"> We recommend that </w:t>
      </w:r>
      <w:r>
        <w:t xml:space="preserve">going forward </w:t>
      </w:r>
      <w:r w:rsidRPr="004C31FA">
        <w:t>health data on service use is sought and recorded for those referred in order for accurate outcomes to be recorded</w:t>
      </w:r>
      <w:r>
        <w:t xml:space="preserve">. Consent should be obtained to access the NHS numbers of Social Prescribing service users, this can then be used to link with data held by the NHS Data Management and Integration Centre on their health service usage before and after engagement with the project. Where applicable an </w:t>
      </w:r>
      <w:r w:rsidRPr="00A379AE">
        <w:t>informati</w:t>
      </w:r>
      <w:r>
        <w:t xml:space="preserve">on sharing agreement or protocol </w:t>
      </w:r>
      <w:r w:rsidRPr="00BC5218">
        <w:t>between organisations sharing personal identifiable information</w:t>
      </w:r>
      <w:r>
        <w:t xml:space="preserve"> may be required</w:t>
      </w:r>
      <w:r w:rsidRPr="00BC5218">
        <w:t>.</w:t>
      </w:r>
      <w:r>
        <w:rPr>
          <w:rStyle w:val="FootnoteReference"/>
        </w:rPr>
        <w:footnoteReference w:id="122"/>
      </w:r>
    </w:p>
    <w:p w14:paraId="7026F7FD" w14:textId="77777777" w:rsidR="00170B6B" w:rsidRPr="004C31FA" w:rsidRDefault="00170B6B" w:rsidP="00170B6B">
      <w:pPr>
        <w:pStyle w:val="BodyText-parastyle"/>
      </w:pPr>
      <w:r w:rsidRPr="004C31FA">
        <w:rPr>
          <w:b/>
          <w:color w:val="00B0F0"/>
        </w:rPr>
        <w:t>Recommendation:</w:t>
      </w:r>
      <w:r w:rsidRPr="004C31FA">
        <w:rPr>
          <w:color w:val="00B0F0"/>
        </w:rPr>
        <w:t xml:space="preserve"> </w:t>
      </w:r>
      <w:r w:rsidRPr="004C31FA">
        <w:t>We recommend that</w:t>
      </w:r>
      <w:r>
        <w:t xml:space="preserve"> in order to obtain a robust </w:t>
      </w:r>
      <w:r w:rsidRPr="00DC2F25">
        <w:t>sample size a request for service users to be part of the evaluation process should be embedded as part of the referral process</w:t>
      </w:r>
      <w:r>
        <w:t>, so that users are invited to confirm at the outset their willingness to take part in future evaluations.</w:t>
      </w:r>
    </w:p>
    <w:p w14:paraId="22048D83" w14:textId="77777777" w:rsidR="00170B6B" w:rsidRDefault="00170B6B" w:rsidP="00170B6B">
      <w:pPr>
        <w:pStyle w:val="BodyText-parastyle"/>
      </w:pPr>
      <w:r w:rsidRPr="004C31FA">
        <w:rPr>
          <w:b/>
          <w:color w:val="00B0F0"/>
        </w:rPr>
        <w:t>Recommendation:</w:t>
      </w:r>
      <w:r w:rsidRPr="004C31FA">
        <w:rPr>
          <w:color w:val="00B0F0"/>
        </w:rPr>
        <w:t xml:space="preserve"> </w:t>
      </w:r>
      <w:r w:rsidRPr="004C31FA">
        <w:t>We recommend that</w:t>
      </w:r>
      <w:r>
        <w:t xml:space="preserve"> given the low response rates and outcome data, further evaluation is required. This should be completed at 6 and 12 months to gather evidence on health service usage and outcomes achieved.</w:t>
      </w:r>
    </w:p>
    <w:p w14:paraId="23B5A3F2" w14:textId="77777777" w:rsidR="00170B6B" w:rsidRPr="0091520F" w:rsidRDefault="00170B6B" w:rsidP="00170B6B">
      <w:pPr>
        <w:pStyle w:val="BodyText-parastyle"/>
      </w:pPr>
      <w:r w:rsidRPr="004C31FA">
        <w:rPr>
          <w:b/>
          <w:color w:val="00B0F0"/>
        </w:rPr>
        <w:t>Recommendation:</w:t>
      </w:r>
      <w:r w:rsidRPr="004C31FA">
        <w:t xml:space="preserve"> We recommend that </w:t>
      </w:r>
      <w:r>
        <w:t>any delivery organisations for Social Prescribing ECC are made aware of its information governance policy and are required to comply with this as part of their contract/ agreement for funding. This will be of particular importance given the introduction of th</w:t>
      </w:r>
      <w:r w:rsidRPr="0012141C">
        <w:t>e General Data Protection Regulation (GDPR)</w:t>
      </w:r>
      <w:r>
        <w:t xml:space="preserve"> in the UK from May 2018.</w:t>
      </w:r>
    </w:p>
    <w:p w14:paraId="0A5F4E17" w14:textId="77777777" w:rsidR="00170B6B" w:rsidRPr="004C31FA" w:rsidRDefault="00170B6B" w:rsidP="00170B6B">
      <w:pPr>
        <w:pStyle w:val="Heading2"/>
      </w:pPr>
      <w:bookmarkStart w:id="85" w:name="_Toc497934308"/>
      <w:r w:rsidRPr="004C31FA">
        <w:t>Outcomes</w:t>
      </w:r>
      <w:bookmarkEnd w:id="85"/>
    </w:p>
    <w:p w14:paraId="05436D4D" w14:textId="77777777" w:rsidR="00170B6B" w:rsidRDefault="00170B6B" w:rsidP="00170B6B">
      <w:pPr>
        <w:pStyle w:val="Heading3"/>
      </w:pPr>
      <w:r w:rsidRPr="004C31FA">
        <w:t>Primary, secondary and social care</w:t>
      </w:r>
    </w:p>
    <w:p w14:paraId="06C4C525" w14:textId="77777777" w:rsidR="00170B6B" w:rsidRPr="004C31FA" w:rsidRDefault="00170B6B" w:rsidP="00170B6B">
      <w:pPr>
        <w:pStyle w:val="BodyText-parastyle"/>
      </w:pPr>
      <w:r>
        <w:t>The RSM PACEC survey results</w:t>
      </w:r>
      <w:r>
        <w:rPr>
          <w:rStyle w:val="FootnoteReference"/>
        </w:rPr>
        <w:footnoteReference w:id="123"/>
      </w:r>
      <w:r>
        <w:t xml:space="preserve"> show that between a quarter and a third of users reported reduced use of primary, secondary and social care. </w:t>
      </w:r>
      <w:r w:rsidRPr="004C31FA">
        <w:t xml:space="preserve">Based on self-reported data provided by 136 </w:t>
      </w:r>
      <w:r>
        <w:t>survey respondents</w:t>
      </w:r>
      <w:r w:rsidRPr="004C31FA">
        <w:t xml:space="preserve"> the Social Prescribing projects have had</w:t>
      </w:r>
      <w:r>
        <w:t xml:space="preserve"> the following impacts: </w:t>
      </w:r>
    </w:p>
    <w:p w14:paraId="45CBC953" w14:textId="77777777" w:rsidR="00170B6B" w:rsidRPr="004C31FA" w:rsidRDefault="00170B6B" w:rsidP="00170B6B">
      <w:pPr>
        <w:pStyle w:val="ListParagraph"/>
      </w:pPr>
      <w:r w:rsidRPr="004C31FA">
        <w:rPr>
          <w:color w:val="00B0F0"/>
        </w:rPr>
        <w:t xml:space="preserve">Reduced use of primary care </w:t>
      </w:r>
      <w:r w:rsidRPr="004C31FA">
        <w:t xml:space="preserve">– 59% (n=74) of survey respondents (n=125) reported reduced number of hours spent with their GP and 34% (n=46) of survey respondents reported reduced number of prescriptions received </w:t>
      </w:r>
    </w:p>
    <w:p w14:paraId="35F7476D" w14:textId="7F17F079" w:rsidR="00170B6B" w:rsidRPr="004C31FA" w:rsidRDefault="00170B6B" w:rsidP="00170B6B">
      <w:pPr>
        <w:pStyle w:val="ListParagraph"/>
      </w:pPr>
      <w:r w:rsidRPr="004C31FA">
        <w:rPr>
          <w:color w:val="00B0F0"/>
        </w:rPr>
        <w:t xml:space="preserve">Reduced use of secondary care </w:t>
      </w:r>
      <w:r w:rsidRPr="004C31FA">
        <w:t>– 31% (n=42) respondents of survey reported a reduction in ou</w:t>
      </w:r>
      <w:r>
        <w:t xml:space="preserve">tpatient appointments attended. This compares </w:t>
      </w:r>
      <w:r w:rsidR="003C333D">
        <w:t>favorably</w:t>
      </w:r>
      <w:r>
        <w:t xml:space="preserve"> with the findings from the Rotherham Social Prescribing pilot which reported a reduction of 21% in the number of outpatient appointments</w:t>
      </w:r>
      <w:r>
        <w:rPr>
          <w:rStyle w:val="FootnoteReference"/>
        </w:rPr>
        <w:footnoteReference w:id="124"/>
      </w:r>
    </w:p>
    <w:p w14:paraId="6A7BE501" w14:textId="77777777" w:rsidR="00170B6B" w:rsidRPr="006D6D98" w:rsidRDefault="00170B6B" w:rsidP="00170B6B">
      <w:pPr>
        <w:pStyle w:val="ListParagraph"/>
      </w:pPr>
      <w:r w:rsidRPr="004C31FA">
        <w:rPr>
          <w:color w:val="00B0F0"/>
        </w:rPr>
        <w:t xml:space="preserve">Reduced use of social care </w:t>
      </w:r>
      <w:r w:rsidRPr="004C31FA">
        <w:t>- 25% (n=33) of survey respondents reported reduced hours of support from a social worker</w:t>
      </w:r>
    </w:p>
    <w:p w14:paraId="2E0D5159" w14:textId="77777777" w:rsidR="00170B6B" w:rsidRPr="00CB5494" w:rsidRDefault="00170B6B" w:rsidP="00170B6B">
      <w:pPr>
        <w:pStyle w:val="BodyText-parastyle"/>
      </w:pPr>
      <w:r w:rsidRPr="004C31FA">
        <w:t>There is also anecdotal evidence from stakeholder consultees (GPs and other healthcare staff) that those they have referred now see their GP less f</w:t>
      </w:r>
      <w:r>
        <w:t xml:space="preserve">or social / non-medical issues. This was supported by survey findings which highlighted that the greatest reduction reported was in the number of hours they spent with their GP, suggesting </w:t>
      </w:r>
      <w:r w:rsidRPr="004C31FA">
        <w:t>that GPs may receive the greater immediate benefit from Social Prescribing</w:t>
      </w:r>
      <w:r>
        <w:t>. F</w:t>
      </w:r>
      <w:r w:rsidRPr="004F5053">
        <w:t>eedback from</w:t>
      </w:r>
      <w:r>
        <w:t xml:space="preserve"> a range of consultees highlighted the impact on primary care in their area, for example:</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69"/>
      </w:tblGrid>
      <w:tr w:rsidR="00170B6B" w14:paraId="286AD103" w14:textId="77777777" w:rsidTr="00C50611">
        <w:trPr>
          <w:cnfStyle w:val="100000000000" w:firstRow="1" w:lastRow="0" w:firstColumn="0" w:lastColumn="0" w:oddVBand="0" w:evenVBand="0" w:oddHBand="0" w:evenHBand="0" w:firstRowFirstColumn="0" w:firstRowLastColumn="0" w:lastRowFirstColumn="0" w:lastRowLastColumn="0"/>
        </w:trPr>
        <w:tc>
          <w:tcPr>
            <w:tcW w:w="9769" w:type="dxa"/>
            <w:shd w:val="clear" w:color="auto" w:fill="auto"/>
          </w:tcPr>
          <w:p w14:paraId="4FF69215" w14:textId="77777777" w:rsidR="00170B6B" w:rsidRDefault="00170B6B" w:rsidP="002771E9">
            <w:pPr>
              <w:pStyle w:val="BodyText-parastyle"/>
              <w:spacing w:after="0"/>
            </w:pPr>
            <w:r>
              <w:t>O</w:t>
            </w:r>
            <w:r w:rsidRPr="004F5053">
              <w:t xml:space="preserve">ne GP </w:t>
            </w:r>
            <w:r>
              <w:t xml:space="preserve">interviewed for the Basildon and Brentwood Social Prescribing project </w:t>
            </w:r>
            <w:r w:rsidRPr="004F5053">
              <w:t>highlighted that many of the patients they have referred no longer come back to see them for the same issues</w:t>
            </w:r>
            <w:r>
              <w:t>.</w:t>
            </w:r>
          </w:p>
          <w:p w14:paraId="414F05CC" w14:textId="77777777" w:rsidR="00170B6B" w:rsidRDefault="00170B6B" w:rsidP="002771E9">
            <w:pPr>
              <w:pStyle w:val="BodyText-parastyle"/>
              <w:spacing w:after="0"/>
            </w:pPr>
            <w:r>
              <w:t>It was noted that</w:t>
            </w:r>
            <w:r w:rsidRPr="004F5053">
              <w:t xml:space="preserve"> since referring to the Social Prescribing project they have made fewer referr</w:t>
            </w:r>
            <w:r>
              <w:t>als to the mental health team. T</w:t>
            </w:r>
            <w:r w:rsidRPr="004F5053">
              <w:t xml:space="preserve">his </w:t>
            </w:r>
            <w:r>
              <w:t xml:space="preserve">was particularly in relation to </w:t>
            </w:r>
            <w:r w:rsidRPr="004F5053">
              <w:t>frequent attenders who need social support but have no medical ne</w:t>
            </w:r>
            <w:r>
              <w:t>eds (e.g. are socially isolated or</w:t>
            </w:r>
            <w:r w:rsidRPr="004F5053">
              <w:t xml:space="preserve"> need help with financial issues that are impacting on their</w:t>
            </w:r>
            <w:r>
              <w:t xml:space="preserve"> overall health and wellbeing).</w:t>
            </w:r>
          </w:p>
          <w:p w14:paraId="0F9E389B" w14:textId="77777777" w:rsidR="00170B6B" w:rsidRDefault="00170B6B" w:rsidP="002771E9">
            <w:pPr>
              <w:pStyle w:val="BodyText-parastyle"/>
              <w:spacing w:after="0"/>
            </w:pPr>
            <w:r>
              <w:t xml:space="preserve">As a result they believed the project </w:t>
            </w:r>
            <w:r w:rsidRPr="004F5053">
              <w:t>has helped to reduce the number of unnecessary appointments.</w:t>
            </w:r>
          </w:p>
          <w:p w14:paraId="43EE4F73" w14:textId="77777777" w:rsidR="00170B6B" w:rsidRDefault="00170B6B" w:rsidP="002771E9">
            <w:pPr>
              <w:pStyle w:val="BodyText-parastyle"/>
              <w:spacing w:after="0"/>
            </w:pPr>
            <w:r>
              <w:t xml:space="preserve">- Consultee Interview for the Basildon and Brentwood Social Prescribing Project </w:t>
            </w:r>
          </w:p>
        </w:tc>
      </w:tr>
    </w:tbl>
    <w:p w14:paraId="24E11896" w14:textId="77777777" w:rsidR="00170B6B" w:rsidRPr="004C31FA" w:rsidRDefault="00170B6B" w:rsidP="00170B6B">
      <w:pPr>
        <w:pStyle w:val="Heading3"/>
      </w:pPr>
      <w:r w:rsidRPr="004C31FA">
        <w:t>Social / health and wellbeing outcomes</w:t>
      </w:r>
    </w:p>
    <w:p w14:paraId="6A790AAE" w14:textId="77777777" w:rsidR="00170B6B" w:rsidRDefault="00170B6B" w:rsidP="00170B6B">
      <w:pPr>
        <w:pStyle w:val="BodyText-parastyle"/>
      </w:pPr>
      <w:r w:rsidRPr="004C31FA">
        <w:t xml:space="preserve">Respondents reported improvements in wellbeing following their referral to the service with over 50% reporting an increase in feelings of satisfaction with life, feelings of life being worthwhile and </w:t>
      </w:r>
      <w:r>
        <w:t xml:space="preserve">feelings of </w:t>
      </w:r>
      <w:r w:rsidRPr="004C31FA">
        <w:t xml:space="preserve">happiness </w:t>
      </w:r>
      <w:r>
        <w:t>while</w:t>
      </w:r>
      <w:r w:rsidRPr="004C31FA">
        <w:t xml:space="preserve"> 47% (n=61) report</w:t>
      </w:r>
      <w:r>
        <w:t xml:space="preserve">ed </w:t>
      </w:r>
      <w:r w:rsidRPr="004C31FA">
        <w:t xml:space="preserve">a decrease in feelings of anxiety. In addition the mean scores for life satisfaction, </w:t>
      </w:r>
      <w:r>
        <w:t xml:space="preserve">feelings of life being </w:t>
      </w:r>
      <w:r w:rsidRPr="004C31FA">
        <w:t>worthwhile and happiness increased and the mean score for anxiety decreased</w:t>
      </w:r>
      <w:r>
        <w:t>,</w:t>
      </w:r>
      <w:r w:rsidRPr="004C31FA">
        <w:t xml:space="preserve"> however respondents remained within the ‘medium’ wellbeing group and below the ONS averages</w:t>
      </w:r>
      <w:r w:rsidRPr="004C31FA">
        <w:rPr>
          <w:vertAlign w:val="superscript"/>
        </w:rPr>
        <w:footnoteReference w:id="125"/>
      </w:r>
      <w:r>
        <w:t xml:space="preserve"> for each group. </w:t>
      </w:r>
      <w:r w:rsidRPr="004C31FA">
        <w:t>In addition there is some evidence of improvement in social connectedness, increased optimism and redu</w:t>
      </w:r>
      <w:r>
        <w:t>ced feelings of depression. Q</w:t>
      </w:r>
      <w:r w:rsidRPr="004C31FA">
        <w:t xml:space="preserve">ualitative feedback via service user case studies and stakeholder feedback suggests that the support provided has helped to increase independence and confidence to </w:t>
      </w:r>
      <w:r>
        <w:t>allow users’ engagement</w:t>
      </w:r>
      <w:r w:rsidRPr="004C31FA">
        <w:t xml:space="preserve"> in community activities </w:t>
      </w:r>
      <w:r>
        <w:t>in which</w:t>
      </w:r>
      <w:r w:rsidRPr="004C31FA">
        <w:t xml:space="preserve"> they </w:t>
      </w:r>
      <w:r>
        <w:t xml:space="preserve">may not otherwise have participated. </w:t>
      </w:r>
    </w:p>
    <w:p w14:paraId="409BAD65" w14:textId="77777777" w:rsidR="00170B6B" w:rsidRDefault="00170B6B" w:rsidP="00170B6B">
      <w:pPr>
        <w:pStyle w:val="BodyText-parastyle"/>
      </w:pPr>
      <w:r w:rsidRPr="004C31FA">
        <w:t>Overall there ha</w:t>
      </w:r>
      <w:r>
        <w:t>s</w:t>
      </w:r>
      <w:r w:rsidRPr="004C31FA">
        <w:t xml:space="preserve"> not been statistically significant changes in reported social outcomes / wellbeing during the evaluation period (3 months). </w:t>
      </w:r>
      <w:r>
        <w:t xml:space="preserve"> However the </w:t>
      </w:r>
      <w:r w:rsidRPr="00CD1332">
        <w:t>benefits of Social Prescribing may take</w:t>
      </w:r>
      <w:r>
        <w:t xml:space="preserve"> time to accumulate and in some cases will only be evident in the longer term. In particular, behaviour change and self-care / self-management can take time to </w:t>
      </w:r>
      <w:r w:rsidRPr="00BC30DE">
        <w:t xml:space="preserve">embed and </w:t>
      </w:r>
      <w:r>
        <w:t>where the model involves the training of SPCs the knowledge and learning from the training can take time to translate into referrals.</w:t>
      </w:r>
    </w:p>
    <w:p w14:paraId="2F57E305" w14:textId="77777777" w:rsidR="00170B6B" w:rsidRPr="004C31FA" w:rsidRDefault="00170B6B" w:rsidP="00170B6B">
      <w:pPr>
        <w:pStyle w:val="Heading3"/>
      </w:pPr>
      <w:r w:rsidRPr="004C31FA">
        <w:t>Stakeholder feedback</w:t>
      </w:r>
    </w:p>
    <w:p w14:paraId="59ACFCCC" w14:textId="77777777" w:rsidR="00170B6B" w:rsidRDefault="00170B6B" w:rsidP="00170B6B">
      <w:pPr>
        <w:pStyle w:val="BodyText-parastyle"/>
      </w:pPr>
      <w:r w:rsidRPr="004C31FA">
        <w:t>All consultees were positive about the service being provided and believed that while a range of organisations existed to support different needs, this was fragmented and it was not possible for many of those making referrals (e.g. GPs, social care, police etc.) to be</w:t>
      </w:r>
      <w:r>
        <w:t xml:space="preserve"> aware of what was available,</w:t>
      </w:r>
      <w:r w:rsidRPr="004C31FA">
        <w:t xml:space="preserve"> as result the Social Prescribing projects served as a conduit to fill this gap in the market. </w:t>
      </w:r>
    </w:p>
    <w:p w14:paraId="5C6B10F9" w14:textId="3FE40CA9" w:rsidR="00170B6B" w:rsidRDefault="00170B6B" w:rsidP="00170B6B">
      <w:pPr>
        <w:pStyle w:val="BodyText-parastyle"/>
      </w:pPr>
      <w:r w:rsidRPr="004C31FA">
        <w:t>It was suggested that without Social Prescribing</w:t>
      </w:r>
      <w:r>
        <w:t>,</w:t>
      </w:r>
      <w:r w:rsidRPr="004C31FA">
        <w:t xml:space="preserve"> GPs / other referring organisations or individuals would not have the knowledge to signpost those in need of support to the most appropriate organisation.</w:t>
      </w:r>
    </w:p>
    <w:p w14:paraId="2AC673F5" w14:textId="23209965" w:rsidR="002771E9" w:rsidRDefault="002771E9" w:rsidP="00170B6B">
      <w:pPr>
        <w:pStyle w:val="BodyText-parastyle"/>
      </w:pPr>
    </w:p>
    <w:p w14:paraId="34A97C67" w14:textId="05E4A78E" w:rsidR="002771E9" w:rsidRDefault="002771E9" w:rsidP="00170B6B">
      <w:pPr>
        <w:pStyle w:val="BodyText-parastyle"/>
      </w:pPr>
    </w:p>
    <w:p w14:paraId="2FFCB8F2" w14:textId="77777777" w:rsidR="002771E9" w:rsidRDefault="002771E9" w:rsidP="00170B6B">
      <w:pPr>
        <w:pStyle w:val="BodyText-parastyle"/>
      </w:pPr>
    </w:p>
    <w:p w14:paraId="12770BC2" w14:textId="77777777" w:rsidR="00170B6B" w:rsidRDefault="00170B6B" w:rsidP="00170B6B">
      <w:pPr>
        <w:pStyle w:val="BodyText-parastyle"/>
      </w:pPr>
      <w:r>
        <w:t xml:space="preserve">Stakeholder </w:t>
      </w:r>
      <w:r w:rsidRPr="001A0253">
        <w:t xml:space="preserve">consultees </w:t>
      </w:r>
      <w:r>
        <w:t xml:space="preserve">also </w:t>
      </w:r>
      <w:r w:rsidRPr="001A0253">
        <w:t xml:space="preserve">suggested that a key element </w:t>
      </w:r>
      <w:r>
        <w:t>the Social Prescribing projects was</w:t>
      </w:r>
      <w:r w:rsidRPr="001A0253">
        <w:t xml:space="preserve"> the unique and tailored support provide</w:t>
      </w:r>
      <w:r>
        <w:t>d</w:t>
      </w:r>
      <w:r w:rsidRPr="001A0253">
        <w:t xml:space="preserve"> that resul</w:t>
      </w:r>
      <w:r>
        <w:t>ted</w:t>
      </w:r>
      <w:r w:rsidRPr="001A0253">
        <w:t xml:space="preserve"> in the best possible outcome for the people they refer</w:t>
      </w:r>
      <w:r>
        <w:t xml:space="preserve">red, for example: </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620" w:firstRow="1" w:lastRow="0" w:firstColumn="0" w:lastColumn="0" w:noHBand="1" w:noVBand="1"/>
      </w:tblPr>
      <w:tblGrid>
        <w:gridCol w:w="9759"/>
      </w:tblGrid>
      <w:tr w:rsidR="00170B6B" w14:paraId="2A14FF77" w14:textId="77777777" w:rsidTr="00C50611">
        <w:trPr>
          <w:cnfStyle w:val="100000000000" w:firstRow="1" w:lastRow="0" w:firstColumn="0" w:lastColumn="0" w:oddVBand="0" w:evenVBand="0" w:oddHBand="0" w:evenHBand="0" w:firstRowFirstColumn="0" w:firstRowLastColumn="0" w:lastRowFirstColumn="0" w:lastRowLastColumn="0"/>
        </w:trPr>
        <w:tc>
          <w:tcPr>
            <w:tcW w:w="9759" w:type="dxa"/>
            <w:shd w:val="clear" w:color="auto" w:fill="auto"/>
          </w:tcPr>
          <w:p w14:paraId="7C0AC925" w14:textId="2042A786" w:rsidR="00170B6B" w:rsidRDefault="00170B6B" w:rsidP="00C50611">
            <w:pPr>
              <w:pStyle w:val="BodyText-parastyle"/>
            </w:pPr>
            <w:r>
              <w:t>A</w:t>
            </w:r>
            <w:r w:rsidRPr="003A2DBB">
              <w:t xml:space="preserve"> representative from Rochford &amp; Castle Point District police noted they referred a </w:t>
            </w:r>
            <w:r w:rsidR="003C333D" w:rsidRPr="003A2DBB">
              <w:t>middle-aged</w:t>
            </w:r>
            <w:r w:rsidRPr="003A2DBB">
              <w:t xml:space="preserve"> man with financial difficulties who had been reported missing on two occasions to </w:t>
            </w:r>
            <w:r>
              <w:t>‘</w:t>
            </w:r>
            <w:r w:rsidRPr="003A2DBB">
              <w:t>Ways to Wellness</w:t>
            </w:r>
            <w:r>
              <w:t>’</w:t>
            </w:r>
            <w:r w:rsidRPr="003A2DBB">
              <w:t xml:space="preserve">. </w:t>
            </w:r>
          </w:p>
          <w:p w14:paraId="44D38F12" w14:textId="77777777" w:rsidR="00170B6B" w:rsidRDefault="00170B6B" w:rsidP="00C50611">
            <w:pPr>
              <w:pStyle w:val="BodyText-parastyle"/>
              <w:rPr>
                <w:i/>
              </w:rPr>
            </w:pPr>
            <w:r w:rsidRPr="003A2DBB">
              <w:t xml:space="preserve">Thereafter the individual has not been reported to them and the consultee believed this to be a positive sign that he received the support he needed. In addition, </w:t>
            </w:r>
            <w:r>
              <w:t xml:space="preserve">while </w:t>
            </w:r>
            <w:r w:rsidRPr="003A2DBB">
              <w:t xml:space="preserve">it was stated that they did not have evidence of specific impacts for </w:t>
            </w:r>
            <w:r>
              <w:t>people they referred</w:t>
            </w:r>
            <w:r w:rsidRPr="003A2DBB">
              <w:t xml:space="preserve">, they believed these to be positive, suggesting </w:t>
            </w:r>
            <w:r w:rsidRPr="003A2DBB">
              <w:rPr>
                <w:i/>
              </w:rPr>
              <w:t>“by default the project must be relieving pressure down the line by preventing the “low risk’ cases becoming high risk cases, for example by preventing an individual becoming suicidal due to financial issues that could be resolved with the right form of support”</w:t>
            </w:r>
          </w:p>
          <w:p w14:paraId="03247E7C" w14:textId="77777777" w:rsidR="00170B6B" w:rsidRDefault="00170B6B" w:rsidP="00C50611">
            <w:pPr>
              <w:pStyle w:val="BodyText-parastyle"/>
            </w:pPr>
            <w:r>
              <w:t>- Consultee Interview for the Castle Point and Rochford Ways to Wellness Project</w:t>
            </w:r>
          </w:p>
        </w:tc>
      </w:tr>
    </w:tbl>
    <w:p w14:paraId="0299365A" w14:textId="77777777" w:rsidR="00170B6B" w:rsidRDefault="00170B6B" w:rsidP="00170B6B">
      <w:pPr>
        <w:pStyle w:val="BodyText-parastyle"/>
      </w:pPr>
    </w:p>
    <w:p w14:paraId="4AC6D510" w14:textId="77777777" w:rsidR="00170B6B" w:rsidRPr="004C31FA" w:rsidRDefault="00170B6B" w:rsidP="00170B6B">
      <w:pPr>
        <w:pStyle w:val="Heading2"/>
      </w:pPr>
      <w:bookmarkStart w:id="86" w:name="_Toc497934309"/>
      <w:r w:rsidRPr="004C31FA">
        <w:t>Cost Effectiveness / Cost Avoidance</w:t>
      </w:r>
      <w:r>
        <w:t xml:space="preserve"> and Cost Effectiveness</w:t>
      </w:r>
      <w:bookmarkEnd w:id="86"/>
    </w:p>
    <w:p w14:paraId="48E8B3C3" w14:textId="77777777" w:rsidR="00170B6B" w:rsidRDefault="00170B6B" w:rsidP="00170B6B">
      <w:pPr>
        <w:pStyle w:val="BodyText-parastyle"/>
      </w:pPr>
      <w:r w:rsidRPr="004C31FA">
        <w:t>There is evidence to suggest that the Social Prescribing projects have helped to reduce the use of primary, secondary and social care services and result</w:t>
      </w:r>
      <w:r>
        <w:t>ed</w:t>
      </w:r>
      <w:r w:rsidRPr="004C31FA">
        <w:t xml:space="preserve"> in costs avoided t</w:t>
      </w:r>
      <w:r>
        <w:t xml:space="preserve">o the health service totalling </w:t>
      </w:r>
      <w:r w:rsidRPr="004C31FA">
        <w:t>£</w:t>
      </w:r>
      <w:r w:rsidRPr="006D6D98">
        <w:t xml:space="preserve">39,726 </w:t>
      </w:r>
      <w:r w:rsidRPr="004C31FA">
        <w:t>(combined net cost avoidance</w:t>
      </w:r>
      <w:r>
        <w:rPr>
          <w:rStyle w:val="FootnoteReference"/>
        </w:rPr>
        <w:footnoteReference w:id="126"/>
      </w:r>
      <w:r w:rsidRPr="004C31FA">
        <w:t xml:space="preserve"> calculated for primary, secondary and social care</w:t>
      </w:r>
      <w:r>
        <w:t xml:space="preserve"> </w:t>
      </w:r>
      <w:r w:rsidRPr="003C61D9">
        <w:t xml:space="preserve">based on self-reported data provided by </w:t>
      </w:r>
      <w:r>
        <w:t>136</w:t>
      </w:r>
      <w:r w:rsidRPr="003C61D9">
        <w:t xml:space="preserve"> patients / service users</w:t>
      </w:r>
      <w:r w:rsidRPr="004C31FA">
        <w:t>)</w:t>
      </w:r>
      <w:r>
        <w:t xml:space="preserve"> over a 3 month period</w:t>
      </w:r>
      <w:r w:rsidRPr="004C31FA">
        <w:t>.</w:t>
      </w:r>
      <w:r>
        <w:t xml:space="preserve"> </w:t>
      </w:r>
    </w:p>
    <w:p w14:paraId="22450E5E" w14:textId="77777777" w:rsidR="00170B6B" w:rsidRPr="004C31FA" w:rsidRDefault="00170B6B" w:rsidP="00170B6B">
      <w:pPr>
        <w:widowControl/>
        <w:spacing w:before="0" w:after="240" w:line="240" w:lineRule="atLeast"/>
        <w:rPr>
          <w:rFonts w:eastAsia="Times New Roman"/>
          <w:sz w:val="24"/>
          <w:lang w:val="en-GB" w:eastAsia="en-GB"/>
        </w:rPr>
      </w:pPr>
      <w:r w:rsidRPr="004C31FA">
        <w:rPr>
          <w:rFonts w:eastAsia="Times New Roman"/>
          <w:sz w:val="24"/>
          <w:lang w:val="en-GB" w:eastAsia="en-GB"/>
        </w:rPr>
        <w:t>A number of positive economic benefits have been estimated:</w:t>
      </w:r>
    </w:p>
    <w:p w14:paraId="4E44ED69" w14:textId="05E0B336" w:rsidR="00170B6B" w:rsidRPr="004C31FA" w:rsidRDefault="00170B6B" w:rsidP="00170B6B">
      <w:pPr>
        <w:pStyle w:val="ListParagraph"/>
      </w:pPr>
      <w:r w:rsidRPr="004C31FA">
        <w:rPr>
          <w:color w:val="00B0F0"/>
        </w:rPr>
        <w:t xml:space="preserve">Primary care </w:t>
      </w:r>
      <w:r>
        <w:rPr>
          <w:color w:val="00B0F0"/>
        </w:rPr>
        <w:t>(based on 136</w:t>
      </w:r>
      <w:r w:rsidRPr="003C61D9">
        <w:rPr>
          <w:color w:val="00B0F0"/>
        </w:rPr>
        <w:t xml:space="preserve"> patients / service users</w:t>
      </w:r>
      <w:r>
        <w:rPr>
          <w:rStyle w:val="FootnoteReference"/>
          <w:color w:val="00B0F0"/>
        </w:rPr>
        <w:footnoteReference w:id="127"/>
      </w:r>
      <w:r>
        <w:rPr>
          <w:color w:val="00B0F0"/>
        </w:rPr>
        <w:t xml:space="preserve">) </w:t>
      </w:r>
      <w:r w:rsidRPr="004C31FA">
        <w:t xml:space="preserve">– costs </w:t>
      </w:r>
      <w:r>
        <w:t xml:space="preserve">were </w:t>
      </w:r>
      <w:r w:rsidRPr="004C31FA">
        <w:t>avoided in relation to hours spen</w:t>
      </w:r>
      <w:r>
        <w:t>t</w:t>
      </w:r>
      <w:r w:rsidRPr="004C31FA">
        <w:t xml:space="preserve"> with a GP</w:t>
      </w:r>
      <w:r>
        <w:t xml:space="preserve"> (</w:t>
      </w:r>
      <w:r w:rsidRPr="004E5C44">
        <w:t>£9,478</w:t>
      </w:r>
      <w:r>
        <w:t>)</w:t>
      </w:r>
      <w:r w:rsidRPr="004C31FA">
        <w:t xml:space="preserve"> and prescriptions received</w:t>
      </w:r>
      <w:r>
        <w:t xml:space="preserve"> (</w:t>
      </w:r>
      <w:r w:rsidRPr="00672DE7">
        <w:t>£5,658</w:t>
      </w:r>
      <w:r>
        <w:t>),</w:t>
      </w:r>
      <w:r w:rsidRPr="004C31FA">
        <w:t xml:space="preserve"> however </w:t>
      </w:r>
      <w:r>
        <w:t xml:space="preserve">respondents reported an increase in </w:t>
      </w:r>
      <w:r w:rsidR="003C333D">
        <w:t xml:space="preserve">the </w:t>
      </w:r>
      <w:r w:rsidR="003C333D" w:rsidRPr="004C31FA">
        <w:t>use</w:t>
      </w:r>
      <w:r w:rsidRPr="004C31FA">
        <w:t xml:space="preserve"> of counselling services </w:t>
      </w:r>
      <w:r>
        <w:t>(</w:t>
      </w:r>
      <w:r w:rsidRPr="00672DE7">
        <w:t>£2,238</w:t>
      </w:r>
      <w:r>
        <w:t xml:space="preserve">) </w:t>
      </w:r>
      <w:r w:rsidRPr="004C31FA">
        <w:t>and mental</w:t>
      </w:r>
      <w:r>
        <w:t xml:space="preserve"> health support in the community (</w:t>
      </w:r>
      <w:r w:rsidRPr="00672DE7">
        <w:t>£14,976</w:t>
      </w:r>
      <w:r>
        <w:t>)</w:t>
      </w:r>
      <w:r w:rsidRPr="004C31FA">
        <w:t>. Estimated total cost incurred: £2,07</w:t>
      </w:r>
      <w:r>
        <w:t>8</w:t>
      </w:r>
    </w:p>
    <w:p w14:paraId="4554B700" w14:textId="77777777" w:rsidR="00170B6B" w:rsidRPr="004C31FA" w:rsidRDefault="00170B6B" w:rsidP="00170B6B">
      <w:pPr>
        <w:pStyle w:val="ListParagraph"/>
      </w:pPr>
      <w:r w:rsidRPr="004C31FA">
        <w:rPr>
          <w:color w:val="00B0F0"/>
        </w:rPr>
        <w:t>Secondary care</w:t>
      </w:r>
      <w:r>
        <w:rPr>
          <w:color w:val="00B0F0"/>
        </w:rPr>
        <w:t xml:space="preserve"> (based on 136</w:t>
      </w:r>
      <w:r w:rsidRPr="003C61D9">
        <w:rPr>
          <w:color w:val="00B0F0"/>
        </w:rPr>
        <w:t xml:space="preserve"> patients / service users</w:t>
      </w:r>
      <w:r>
        <w:rPr>
          <w:color w:val="00B0F0"/>
        </w:rPr>
        <w:t>)</w:t>
      </w:r>
      <w:r w:rsidRPr="004C31FA">
        <w:rPr>
          <w:color w:val="00B0F0"/>
        </w:rPr>
        <w:t xml:space="preserve"> </w:t>
      </w:r>
      <w:r w:rsidRPr="004C31FA">
        <w:t xml:space="preserve">– costs </w:t>
      </w:r>
      <w:r>
        <w:t xml:space="preserve">were </w:t>
      </w:r>
      <w:r w:rsidRPr="004C31FA">
        <w:t>avoided in relation to attendance at A+E</w:t>
      </w:r>
      <w:r>
        <w:t xml:space="preserve"> (</w:t>
      </w:r>
      <w:r w:rsidRPr="0024049C">
        <w:t>£1,080</w:t>
      </w:r>
      <w:r>
        <w:t>)</w:t>
      </w:r>
      <w:r w:rsidRPr="004C31FA">
        <w:t>, outpatient attendances</w:t>
      </w:r>
      <w:r>
        <w:t xml:space="preserve"> (</w:t>
      </w:r>
      <w:r w:rsidRPr="0024049C">
        <w:t>£4,662</w:t>
      </w:r>
      <w:r>
        <w:t>)</w:t>
      </w:r>
      <w:r w:rsidRPr="004C31FA">
        <w:t xml:space="preserve"> and admission to hospital</w:t>
      </w:r>
      <w:r>
        <w:t xml:space="preserve"> for a planned procedure (</w:t>
      </w:r>
      <w:r w:rsidRPr="0024049C">
        <w:t>£3,614</w:t>
      </w:r>
      <w:r>
        <w:t>) / for an emergency (</w:t>
      </w:r>
      <w:r w:rsidRPr="004E5C44">
        <w:t>£27,105</w:t>
      </w:r>
      <w:r>
        <w:t>)</w:t>
      </w:r>
      <w:r w:rsidRPr="004C31FA">
        <w:t>. Es</w:t>
      </w:r>
      <w:r>
        <w:t xml:space="preserve">timated total cost avoidance: </w:t>
      </w:r>
      <w:r w:rsidRPr="004C31FA">
        <w:t>£</w:t>
      </w:r>
      <w:r w:rsidRPr="003A5DD2">
        <w:t>36,461</w:t>
      </w:r>
    </w:p>
    <w:p w14:paraId="5DFD5D61" w14:textId="77777777" w:rsidR="00170B6B" w:rsidRDefault="00170B6B" w:rsidP="00170B6B">
      <w:pPr>
        <w:pStyle w:val="ListParagraph"/>
      </w:pPr>
      <w:r w:rsidRPr="006D6D98">
        <w:rPr>
          <w:color w:val="00B0F0"/>
        </w:rPr>
        <w:t xml:space="preserve">Social care </w:t>
      </w:r>
      <w:r>
        <w:rPr>
          <w:color w:val="00B0F0"/>
        </w:rPr>
        <w:t>(based on 134</w:t>
      </w:r>
      <w:r w:rsidRPr="003C61D9">
        <w:rPr>
          <w:color w:val="00B0F0"/>
        </w:rPr>
        <w:t xml:space="preserve"> patients / service users</w:t>
      </w:r>
      <w:r>
        <w:rPr>
          <w:rStyle w:val="FootnoteReference"/>
          <w:color w:val="00B0F0"/>
        </w:rPr>
        <w:footnoteReference w:id="128"/>
      </w:r>
      <w:r>
        <w:rPr>
          <w:color w:val="00B0F0"/>
        </w:rPr>
        <w:t xml:space="preserve">) </w:t>
      </w:r>
      <w:r w:rsidRPr="006D6D98">
        <w:t xml:space="preserve">– costs </w:t>
      </w:r>
      <w:r>
        <w:t xml:space="preserve">were </w:t>
      </w:r>
      <w:r w:rsidRPr="006D6D98">
        <w:t>avoided in relation to hours spent with a social worker. E</w:t>
      </w:r>
      <w:r>
        <w:t xml:space="preserve">stimated total cost avoidance: </w:t>
      </w:r>
      <w:r w:rsidRPr="006D6D98">
        <w:t>£</w:t>
      </w:r>
      <w:r w:rsidRPr="003A5DD2">
        <w:t>5,343</w:t>
      </w:r>
    </w:p>
    <w:p w14:paraId="5BF43F08" w14:textId="27DBD4EC" w:rsidR="00170B6B" w:rsidRPr="006D6D98" w:rsidRDefault="00170B6B" w:rsidP="00F938AF">
      <w:pPr>
        <w:pStyle w:val="ListParagraph"/>
      </w:pPr>
      <w:r w:rsidRPr="00A0730D">
        <w:rPr>
          <w:color w:val="00B0F0"/>
        </w:rPr>
        <w:t xml:space="preserve">Quality Adjusted Life Years </w:t>
      </w:r>
      <w:r>
        <w:rPr>
          <w:color w:val="00B0F0"/>
        </w:rPr>
        <w:t>(QALYs)</w:t>
      </w:r>
      <w:r>
        <w:rPr>
          <w:rStyle w:val="FootnoteReference"/>
          <w:color w:val="00B0F0"/>
        </w:rPr>
        <w:footnoteReference w:id="129"/>
      </w:r>
      <w:r>
        <w:rPr>
          <w:color w:val="00B0F0"/>
        </w:rPr>
        <w:t xml:space="preserve"> </w:t>
      </w:r>
      <w:r w:rsidRPr="00A0730D">
        <w:t>-</w:t>
      </w:r>
      <w:r>
        <w:t xml:space="preserve"> </w:t>
      </w:r>
      <w:r w:rsidR="00F938AF">
        <w:t>based on five Social Prescribing projects</w:t>
      </w:r>
      <w:r w:rsidR="00F938AF">
        <w:rPr>
          <w:rStyle w:val="FootnoteReference"/>
        </w:rPr>
        <w:footnoteReference w:id="130"/>
      </w:r>
      <w:r w:rsidR="00F938AF">
        <w:t xml:space="preserve"> an </w:t>
      </w:r>
      <w:r w:rsidRPr="00A0730D">
        <w:t>estimated additional 96.56 QALYs at a cost per QALY of £</w:t>
      </w:r>
      <w:r w:rsidR="00F938AF" w:rsidRPr="00F938AF">
        <w:t>7,892.23</w:t>
      </w:r>
      <w:r w:rsidR="00F938AF" w:rsidRPr="00F938AF" w:rsidDel="00F938AF">
        <w:t xml:space="preserve"> </w:t>
      </w:r>
      <w:r>
        <w:t>(</w:t>
      </w:r>
      <w:r w:rsidRPr="00A0730D">
        <w:t>compared to the NICE threshold of £20,000</w:t>
      </w:r>
      <w:r>
        <w:t>).</w:t>
      </w:r>
      <w:r>
        <w:rPr>
          <w:rStyle w:val="FootnoteReference"/>
        </w:rPr>
        <w:footnoteReference w:id="131"/>
      </w:r>
      <w:r w:rsidRPr="00CB074E">
        <w:t xml:space="preserve"> If the estimated total QALY gained across </w:t>
      </w:r>
      <w:r w:rsidR="00D440B4">
        <w:t>five</w:t>
      </w:r>
      <w:r w:rsidR="00D440B4" w:rsidRPr="00CB074E">
        <w:t xml:space="preserve"> </w:t>
      </w:r>
      <w:r w:rsidRPr="00CB074E">
        <w:t>Social Prescribing projects in Essex is converted into a monetary value using the l</w:t>
      </w:r>
      <w:r>
        <w:t>ower NHS threshold of £20,000,</w:t>
      </w:r>
      <w:r w:rsidRPr="00CB074E">
        <w:t xml:space="preserve"> the value of the benefits gained amounts to £1.93 million. This mea</w:t>
      </w:r>
      <w:r>
        <w:t>ns that for every £1 of the £</w:t>
      </w:r>
      <w:r w:rsidR="00BC206D" w:rsidRPr="00BC206D">
        <w:t>762,074</w:t>
      </w:r>
      <w:r w:rsidR="00C50611">
        <w:rPr>
          <w:rStyle w:val="FootnoteReference"/>
        </w:rPr>
        <w:footnoteReference w:id="132"/>
      </w:r>
      <w:r w:rsidR="00BC206D" w:rsidRPr="00BC206D">
        <w:t xml:space="preserve"> </w:t>
      </w:r>
      <w:r w:rsidRPr="00CB074E">
        <w:t>spent supporting vulnerable people, the Social Prescribing projects produced £</w:t>
      </w:r>
      <w:r w:rsidR="007200D4">
        <w:t>2.53</w:t>
      </w:r>
      <w:r w:rsidRPr="00CB074E">
        <w:t xml:space="preserve"> of benefits in terms of better health.</w:t>
      </w:r>
    </w:p>
    <w:p w14:paraId="44230C38" w14:textId="77777777" w:rsidR="00170B6B" w:rsidRPr="006D6D98" w:rsidRDefault="00170B6B" w:rsidP="00170B6B">
      <w:pPr>
        <w:pStyle w:val="ListParagraph"/>
      </w:pPr>
      <w:r w:rsidRPr="006D6D98">
        <w:rPr>
          <w:color w:val="00B0F0"/>
        </w:rPr>
        <w:t xml:space="preserve">Return on investment </w:t>
      </w:r>
      <w:r w:rsidRPr="006D6D98">
        <w:t xml:space="preserve">– </w:t>
      </w:r>
      <w:r>
        <w:t>based on 136</w:t>
      </w:r>
      <w:r w:rsidRPr="0071155F">
        <w:t xml:space="preserve"> patients / service users and an estimated cost avoidance of </w:t>
      </w:r>
      <w:r w:rsidRPr="006D6D98">
        <w:t>£39,726; a retur</w:t>
      </w:r>
      <w:r>
        <w:t>n on investment of £0.96 - £1.08</w:t>
      </w:r>
      <w:r w:rsidRPr="006D6D98">
        <w:t xml:space="preserve"> pence for every £1 invested is estimated </w:t>
      </w:r>
    </w:p>
    <w:p w14:paraId="0F9892EB" w14:textId="77777777" w:rsidR="00170B6B" w:rsidRPr="0071155F" w:rsidRDefault="00170B6B" w:rsidP="00170B6B">
      <w:pPr>
        <w:pStyle w:val="ListParagraph"/>
        <w:rPr>
          <w:rFonts w:eastAsia="Times New Roman"/>
          <w:lang w:val="en-GB" w:eastAsia="en-GB"/>
        </w:rPr>
      </w:pPr>
      <w:r w:rsidRPr="004C31FA">
        <w:rPr>
          <w:color w:val="00B0F0"/>
        </w:rPr>
        <w:t xml:space="preserve">Volunteering </w:t>
      </w:r>
      <w:r w:rsidRPr="004C31FA">
        <w:t xml:space="preserve">– </w:t>
      </w:r>
      <w:r>
        <w:t>In total 195</w:t>
      </w:r>
      <w:r w:rsidRPr="00B3303A">
        <w:t xml:space="preserve"> (active) and 285 (inactive) volunteers and SPCs have been involved in the delivery of the Social Prescribing projects</w:t>
      </w:r>
      <w:r>
        <w:t xml:space="preserve">. </w:t>
      </w:r>
      <w:r w:rsidRPr="00090833">
        <w:t xml:space="preserve">The New Economy Manchester model attributes a value of £162 to someone taking up a volunteering opportunity. Based on 42 active volunteers </w:t>
      </w:r>
      <w:r>
        <w:t xml:space="preserve">(excludes SPCs) </w:t>
      </w:r>
      <w:r w:rsidRPr="00090833">
        <w:t xml:space="preserve">this amounts to a value of </w:t>
      </w:r>
      <w:r>
        <w:t>£</w:t>
      </w:r>
      <w:r w:rsidRPr="00090833">
        <w:t>6,804 contributed by volunteers</w:t>
      </w:r>
    </w:p>
    <w:p w14:paraId="6B48FB4A" w14:textId="77777777" w:rsidR="00170B6B" w:rsidRDefault="00170B6B" w:rsidP="00170B6B">
      <w:pPr>
        <w:pStyle w:val="BodyText-parastyle"/>
      </w:pPr>
      <w:r>
        <w:t>When scaled up to reflect all of those supported by the Social Prescribing projects (</w:t>
      </w:r>
      <w:r w:rsidRPr="00D87C37">
        <w:rPr>
          <w:b/>
        </w:rPr>
        <w:t>see methodology used in section 8.6</w:t>
      </w:r>
      <w:r>
        <w:t>) the following net and gross cost avoidance values are estimated:</w:t>
      </w:r>
    </w:p>
    <w:p w14:paraId="69DD2F61" w14:textId="77777777" w:rsidR="00170B6B" w:rsidRPr="006D6D98" w:rsidRDefault="00170B6B" w:rsidP="00170B6B">
      <w:pPr>
        <w:pStyle w:val="ListParagraph"/>
        <w:rPr>
          <w:rFonts w:eastAsia="Times New Roman"/>
          <w:lang w:val="en-GB" w:eastAsia="en-GB"/>
        </w:rPr>
      </w:pPr>
      <w:r w:rsidRPr="004C31FA">
        <w:rPr>
          <w:color w:val="00B0F0"/>
        </w:rPr>
        <w:t xml:space="preserve">Primary care </w:t>
      </w:r>
      <w:r w:rsidRPr="004C31FA">
        <w:t xml:space="preserve">– </w:t>
      </w:r>
      <w:r w:rsidRPr="006D6D98">
        <w:t>potential minimum cost avoidance for primary care usage for all of those supported by the Social Prescribing projects is £256,</w:t>
      </w:r>
      <w:r>
        <w:t>950 and the maximum is £747,468</w:t>
      </w:r>
    </w:p>
    <w:p w14:paraId="656F92D9" w14:textId="77777777" w:rsidR="00170B6B" w:rsidRPr="006D6D98" w:rsidRDefault="00170B6B" w:rsidP="00170B6B">
      <w:pPr>
        <w:pStyle w:val="ListParagraph"/>
        <w:rPr>
          <w:rFonts w:eastAsia="Times New Roman"/>
          <w:lang w:val="en-GB" w:eastAsia="en-GB"/>
        </w:rPr>
      </w:pPr>
      <w:r w:rsidRPr="006D6D98">
        <w:rPr>
          <w:color w:val="00B0F0"/>
        </w:rPr>
        <w:t xml:space="preserve">Secondary care </w:t>
      </w:r>
      <w:r w:rsidRPr="004C31FA">
        <w:t>–</w:t>
      </w:r>
      <w:r w:rsidRPr="006D6D98">
        <w:t xml:space="preserve"> potential minimum cost avoidance for secondary care usage for all of those supported by the Social Prescribing projects is £1,091,27</w:t>
      </w:r>
      <w:r>
        <w:t>2 and the maximum is £1,349,216</w:t>
      </w:r>
    </w:p>
    <w:p w14:paraId="04617D48" w14:textId="77777777" w:rsidR="00170B6B" w:rsidRPr="009529DC" w:rsidRDefault="00170B6B" w:rsidP="00170B6B">
      <w:pPr>
        <w:pStyle w:val="ListParagraph"/>
        <w:rPr>
          <w:rFonts w:eastAsia="Times New Roman"/>
          <w:lang w:val="en-GB" w:eastAsia="en-GB"/>
        </w:rPr>
      </w:pPr>
      <w:r w:rsidRPr="004C31FA">
        <w:rPr>
          <w:color w:val="00B0F0"/>
        </w:rPr>
        <w:t xml:space="preserve">Social care </w:t>
      </w:r>
      <w:r w:rsidRPr="004C31FA">
        <w:t>–</w:t>
      </w:r>
      <w:r>
        <w:t xml:space="preserve"> </w:t>
      </w:r>
      <w:r w:rsidRPr="006D6D98">
        <w:t>potential minimum cost avoidance for social care usage for all of those supported by the Social Prescribing projects is £96,708 and the maximum is £211,446.</w:t>
      </w:r>
    </w:p>
    <w:p w14:paraId="2B0FDC98" w14:textId="77777777" w:rsidR="00170B6B" w:rsidRDefault="00170B6B" w:rsidP="00170B6B">
      <w:pPr>
        <w:pStyle w:val="BodyText-parastyle"/>
      </w:pPr>
      <w:r w:rsidRPr="004C31FA">
        <w:t>Therefore the findings demonstrate that the project has resulted in</w:t>
      </w:r>
      <w:r>
        <w:t xml:space="preserve"> an estimated cost avoidance for the entire programme is between </w:t>
      </w:r>
      <w:r w:rsidRPr="0068209C">
        <w:t>£1,444,929</w:t>
      </w:r>
      <w:r>
        <w:t xml:space="preserve"> and </w:t>
      </w:r>
      <w:r w:rsidRPr="0068209C">
        <w:t>£2,308,128</w:t>
      </w:r>
      <w:r>
        <w:t xml:space="preserve">. </w:t>
      </w:r>
    </w:p>
    <w:p w14:paraId="1A8E77DB" w14:textId="77777777" w:rsidR="00170B6B" w:rsidRPr="004C31FA" w:rsidRDefault="00170B6B" w:rsidP="00170B6B">
      <w:pPr>
        <w:pStyle w:val="Heading2"/>
      </w:pPr>
      <w:bookmarkStart w:id="87" w:name="_Toc497934310"/>
      <w:r w:rsidRPr="004C31FA">
        <w:t>Efficiency</w:t>
      </w:r>
      <w:bookmarkEnd w:id="87"/>
    </w:p>
    <w:p w14:paraId="6698CEB8" w14:textId="77777777" w:rsidR="00170B6B" w:rsidRDefault="00170B6B" w:rsidP="00170B6B">
      <w:pPr>
        <w:pStyle w:val="BodyText-parastyle"/>
      </w:pPr>
      <w:r w:rsidRPr="004C31FA">
        <w:t>The cost p</w:t>
      </w:r>
      <w:r>
        <w:t>er service user based on total</w:t>
      </w:r>
      <w:r w:rsidRPr="004C31FA">
        <w:t xml:space="preserve"> expenditure</w:t>
      </w:r>
      <w:r>
        <w:t xml:space="preserve"> for five projects</w:t>
      </w:r>
      <w:r w:rsidRPr="004C31FA">
        <w:rPr>
          <w:vertAlign w:val="superscript"/>
        </w:rPr>
        <w:footnoteReference w:id="133"/>
      </w:r>
      <w:r w:rsidRPr="004C31FA">
        <w:t xml:space="preserve"> (</w:t>
      </w:r>
      <w:r w:rsidRPr="005571B3">
        <w:t>£</w:t>
      </w:r>
      <w:r w:rsidRPr="00EE2068">
        <w:t>585,114</w:t>
      </w:r>
      <w:r>
        <w:rPr>
          <w:rStyle w:val="FootnoteReference"/>
        </w:rPr>
        <w:footnoteReference w:id="134"/>
      </w:r>
      <w:r>
        <w:t xml:space="preserve">) and </w:t>
      </w:r>
      <w:r w:rsidRPr="001636F3">
        <w:t>4,807</w:t>
      </w:r>
      <w:r>
        <w:t xml:space="preserve"> </w:t>
      </w:r>
      <w:r w:rsidRPr="004C31FA">
        <w:t>people supported is £</w:t>
      </w:r>
      <w:r>
        <w:t>122,</w:t>
      </w:r>
      <w:r w:rsidRPr="001636F3">
        <w:t xml:space="preserve"> the anticipated cost per </w:t>
      </w:r>
      <w:r>
        <w:t>service user</w:t>
      </w:r>
      <w:r w:rsidRPr="001636F3">
        <w:t xml:space="preserve"> was £</w:t>
      </w:r>
      <w:r>
        <w:t>232</w:t>
      </w:r>
      <w:r w:rsidRPr="001636F3">
        <w:t>, suggesting the project has been delivered cost effectively. However there may be other costs associated with the services that supported Social Prescribing service users that could increase the actual cost per participant.</w:t>
      </w:r>
    </w:p>
    <w:p w14:paraId="0F3F5199" w14:textId="77777777" w:rsidR="00170B6B" w:rsidRDefault="00170B6B" w:rsidP="00170B6B">
      <w:pPr>
        <w:widowControl/>
        <w:spacing w:before="0" w:after="240" w:line="240" w:lineRule="atLeast"/>
        <w:rPr>
          <w:rFonts w:eastAsia="Times New Roman"/>
          <w:sz w:val="24"/>
          <w:lang w:val="en-GB" w:eastAsia="en-GB"/>
        </w:rPr>
      </w:pPr>
      <w:r>
        <w:rPr>
          <w:rFonts w:eastAsia="Times New Roman"/>
          <w:sz w:val="24"/>
          <w:lang w:val="en-GB" w:eastAsia="en-GB"/>
        </w:rPr>
        <w:t>The</w:t>
      </w:r>
      <w:r w:rsidRPr="004C31FA">
        <w:rPr>
          <w:rFonts w:eastAsia="Times New Roman"/>
          <w:sz w:val="24"/>
          <w:lang w:val="en-GB" w:eastAsia="en-GB"/>
        </w:rPr>
        <w:t xml:space="preserve"> cost per service user varies significant</w:t>
      </w:r>
      <w:r>
        <w:rPr>
          <w:rFonts w:eastAsia="Times New Roman"/>
          <w:sz w:val="24"/>
          <w:lang w:val="en-GB" w:eastAsia="en-GB"/>
        </w:rPr>
        <w:t>ly</w:t>
      </w:r>
      <w:r w:rsidRPr="004C31FA">
        <w:rPr>
          <w:rFonts w:eastAsia="Times New Roman"/>
          <w:sz w:val="24"/>
          <w:lang w:val="en-GB" w:eastAsia="en-GB"/>
        </w:rPr>
        <w:t xml:space="preserve"> according to the project / model implemented and reflects the intensity of the each of the services, specifically</w:t>
      </w:r>
      <w:r>
        <w:rPr>
          <w:rFonts w:eastAsia="Times New Roman"/>
          <w:sz w:val="24"/>
          <w:lang w:val="en-GB" w:eastAsia="en-GB"/>
        </w:rPr>
        <w:t>:</w:t>
      </w:r>
    </w:p>
    <w:p w14:paraId="0B2A0B84" w14:textId="77777777" w:rsidR="00170B6B" w:rsidRPr="00D87C37" w:rsidRDefault="00170B6B" w:rsidP="00170B6B">
      <w:pPr>
        <w:pStyle w:val="ListParagraph"/>
        <w:rPr>
          <w:rStyle w:val="FootnoteReference"/>
          <w:vertAlign w:val="baseline"/>
        </w:rPr>
      </w:pPr>
      <w:r w:rsidRPr="00D87C37">
        <w:rPr>
          <w:rStyle w:val="FootnoteReference"/>
          <w:vertAlign w:val="baseline"/>
        </w:rPr>
        <w:t xml:space="preserve">those with a higher cost per service user (West Essex, Basildon and Brentwood) spent more time </w:t>
      </w:r>
      <w:r>
        <w:t xml:space="preserve">with </w:t>
      </w:r>
      <w:r w:rsidRPr="00D87C37">
        <w:rPr>
          <w:rStyle w:val="FootnoteReference"/>
          <w:vertAlign w:val="baseline"/>
        </w:rPr>
        <w:t>people on a one to one basis</w:t>
      </w:r>
      <w:r>
        <w:t xml:space="preserve">; and </w:t>
      </w:r>
    </w:p>
    <w:p w14:paraId="67086B84" w14:textId="77777777" w:rsidR="00170B6B" w:rsidRPr="00202013" w:rsidRDefault="00170B6B" w:rsidP="00170B6B">
      <w:pPr>
        <w:pStyle w:val="ListParagraph"/>
        <w:rPr>
          <w:rStyle w:val="FootnoteReference"/>
          <w:vertAlign w:val="baseline"/>
        </w:rPr>
      </w:pPr>
      <w:r w:rsidRPr="00D87C37">
        <w:rPr>
          <w:rStyle w:val="FootnoteReference"/>
          <w:vertAlign w:val="baseline"/>
        </w:rPr>
        <w:t>those with the lowest cost per service user (North East My Social Prescription and Mid Essex) involved</w:t>
      </w:r>
      <w:r w:rsidRPr="00202013">
        <w:rPr>
          <w:rStyle w:val="FootnoteReference"/>
          <w:vertAlign w:val="baseline"/>
        </w:rPr>
        <w:t xml:space="preserve"> signposting or ‘quick conversations’ that result in a direct referral there and then and no further support or time required by a Social Prescribing Navigator.</w:t>
      </w:r>
    </w:p>
    <w:p w14:paraId="4911995E" w14:textId="77777777" w:rsidR="00170B6B" w:rsidRPr="00202013" w:rsidRDefault="00170B6B" w:rsidP="00170B6B">
      <w:pPr>
        <w:pStyle w:val="Heading2"/>
      </w:pPr>
      <w:bookmarkStart w:id="88" w:name="_Toc497934311"/>
      <w:r w:rsidRPr="004C31FA">
        <w:t>Quality</w:t>
      </w:r>
      <w:bookmarkEnd w:id="88"/>
      <w:r w:rsidRPr="004C31FA">
        <w:t xml:space="preserve"> </w:t>
      </w:r>
    </w:p>
    <w:p w14:paraId="79553765" w14:textId="3F4CE6F6" w:rsidR="00170B6B" w:rsidRPr="004C31FA" w:rsidRDefault="00170B6B" w:rsidP="00170B6B">
      <w:pPr>
        <w:pStyle w:val="BodyText-parastyle"/>
      </w:pPr>
      <w:r>
        <w:t xml:space="preserve">The evaluation has had a strong focus on collecting available evidence regarding the extent to which the projects reduced the uptake of primary, secondary or social care services. </w:t>
      </w:r>
      <w:r w:rsidRPr="004C31FA">
        <w:t xml:space="preserve">However </w:t>
      </w:r>
      <w:r>
        <w:t xml:space="preserve">the quality of the service provided is equally important to determine whether it is helping to improve users’ health and wellbeing.  </w:t>
      </w:r>
      <w:r w:rsidRPr="004C31FA">
        <w:t xml:space="preserve">For example, supporting </w:t>
      </w:r>
      <w:r>
        <w:t xml:space="preserve">someone in such a way </w:t>
      </w:r>
      <w:r w:rsidRPr="004C31FA">
        <w:t xml:space="preserve">that could prevent suicide </w:t>
      </w:r>
      <w:r>
        <w:t>is an example of support that is difficult to quantify or measure and the sensitivities around collecting information on the qu</w:t>
      </w:r>
      <w:r w:rsidR="002771E9">
        <w:t xml:space="preserve">ality of the service provided. </w:t>
      </w:r>
      <w:r>
        <w:t xml:space="preserve">The Social Prescribing projects have been collecting feedback from service users through satisfaction surveys as well as case studies which provide more detail and evidence of how the Social Prescribing projects have helped those with more complex needs. </w:t>
      </w:r>
      <w:r w:rsidRPr="004C31FA">
        <w:t xml:space="preserve"> </w:t>
      </w:r>
    </w:p>
    <w:p w14:paraId="553B1A12" w14:textId="77777777" w:rsidR="00170B6B" w:rsidRDefault="00170B6B" w:rsidP="00170B6B">
      <w:pPr>
        <w:pStyle w:val="BodyText-parastyle"/>
      </w:pPr>
      <w:r w:rsidRPr="004C31FA">
        <w:rPr>
          <w:b/>
          <w:color w:val="00B0F0"/>
        </w:rPr>
        <w:t>Recommendation:</w:t>
      </w:r>
      <w:r w:rsidRPr="004C31FA">
        <w:rPr>
          <w:color w:val="00B0F0"/>
        </w:rPr>
        <w:t xml:space="preserve"> </w:t>
      </w:r>
      <w:r w:rsidRPr="004C31FA">
        <w:t xml:space="preserve">We recommend that future projects </w:t>
      </w:r>
      <w:r>
        <w:t xml:space="preserve">continue to conduct client satisfaction surveys and </w:t>
      </w:r>
      <w:r w:rsidRPr="004C31FA">
        <w:t>collect / develop case studies to demonstrate the quality and value of the service being provided in addition to quantitative measures.</w:t>
      </w:r>
    </w:p>
    <w:p w14:paraId="57641275" w14:textId="77777777" w:rsidR="00170B6B" w:rsidRPr="004C31FA" w:rsidRDefault="00170B6B" w:rsidP="00170B6B">
      <w:pPr>
        <w:widowControl/>
        <w:spacing w:before="0" w:after="240" w:line="240" w:lineRule="atLeast"/>
      </w:pPr>
      <w:r w:rsidRPr="004C31FA">
        <w:rPr>
          <w:rFonts w:eastAsia="Times New Roman"/>
          <w:b/>
          <w:color w:val="00B0F0"/>
          <w:sz w:val="24"/>
          <w:lang w:val="en-GB" w:eastAsia="en-GB"/>
        </w:rPr>
        <w:t>Recommendation:</w:t>
      </w:r>
      <w:r w:rsidRPr="004C31FA">
        <w:rPr>
          <w:rFonts w:eastAsia="Times New Roman"/>
          <w:color w:val="00B0F0"/>
          <w:sz w:val="24"/>
          <w:lang w:val="en-GB" w:eastAsia="en-GB"/>
        </w:rPr>
        <w:t xml:space="preserve"> </w:t>
      </w:r>
      <w:r w:rsidRPr="004C31FA">
        <w:rPr>
          <w:rFonts w:eastAsia="Times New Roman"/>
          <w:sz w:val="24"/>
          <w:lang w:val="en-GB" w:eastAsia="en-GB"/>
        </w:rPr>
        <w:t xml:space="preserve">We recommend that </w:t>
      </w:r>
      <w:r w:rsidRPr="00DC2F25">
        <w:rPr>
          <w:rFonts w:eastAsia="Times New Roman"/>
          <w:sz w:val="24"/>
          <w:lang w:val="en-GB" w:eastAsia="en-GB"/>
        </w:rPr>
        <w:t>w</w:t>
      </w:r>
      <w:r>
        <w:rPr>
          <w:rFonts w:eastAsia="Times New Roman"/>
          <w:sz w:val="24"/>
          <w:lang w:val="en-GB" w:eastAsia="en-GB"/>
        </w:rPr>
        <w:t>i</w:t>
      </w:r>
      <w:r w:rsidRPr="00DC2F25">
        <w:rPr>
          <w:rFonts w:eastAsia="Times New Roman"/>
          <w:sz w:val="24"/>
          <w:lang w:val="en-GB" w:eastAsia="en-GB"/>
        </w:rPr>
        <w:t>der social and health outcomes should be recorded where this is feasible and realistic.</w:t>
      </w:r>
      <w:r>
        <w:t xml:space="preserve"> </w:t>
      </w:r>
    </w:p>
    <w:p w14:paraId="3524FE40" w14:textId="77777777" w:rsidR="00170B6B" w:rsidRPr="009529DC" w:rsidRDefault="00170B6B" w:rsidP="00170B6B">
      <w:pPr>
        <w:pStyle w:val="Heading2"/>
      </w:pPr>
      <w:bookmarkStart w:id="89" w:name="_Toc497934312"/>
      <w:r w:rsidRPr="009529DC">
        <w:t>Local infrastructure, relationships and joint working</w:t>
      </w:r>
      <w:bookmarkEnd w:id="89"/>
    </w:p>
    <w:p w14:paraId="673ABEBB" w14:textId="77777777" w:rsidR="00170B6B" w:rsidRDefault="00170B6B" w:rsidP="00170B6B">
      <w:pPr>
        <w:widowControl/>
        <w:spacing w:before="0" w:after="240" w:line="240" w:lineRule="atLeast"/>
        <w:rPr>
          <w:rFonts w:eastAsia="Times New Roman"/>
          <w:sz w:val="24"/>
          <w:lang w:val="en-GB" w:eastAsia="en-GB"/>
        </w:rPr>
      </w:pPr>
      <w:r w:rsidRPr="004C31FA">
        <w:rPr>
          <w:rFonts w:eastAsia="Times New Roman"/>
          <w:sz w:val="24"/>
          <w:lang w:val="en-GB" w:eastAsia="en-GB"/>
        </w:rPr>
        <w:t xml:space="preserve">The Social Prescribing projects have resulted in the development of infrastructure </w:t>
      </w:r>
      <w:r>
        <w:rPr>
          <w:rFonts w:eastAsia="Times New Roman"/>
          <w:sz w:val="24"/>
          <w:lang w:val="en-GB" w:eastAsia="en-GB"/>
        </w:rPr>
        <w:t>and</w:t>
      </w:r>
      <w:r w:rsidRPr="004C31FA">
        <w:rPr>
          <w:rFonts w:eastAsia="Times New Roman"/>
          <w:sz w:val="24"/>
          <w:lang w:val="en-GB" w:eastAsia="en-GB"/>
        </w:rPr>
        <w:t xml:space="preserve"> support mechanisms, for example</w:t>
      </w:r>
      <w:r>
        <w:rPr>
          <w:rFonts w:eastAsia="Times New Roman"/>
          <w:sz w:val="24"/>
          <w:lang w:val="en-GB" w:eastAsia="en-GB"/>
        </w:rPr>
        <w:t>:</w:t>
      </w:r>
    </w:p>
    <w:p w14:paraId="53B3F1D6" w14:textId="77777777" w:rsidR="00170B6B" w:rsidRDefault="00170B6B" w:rsidP="00170B6B">
      <w:pPr>
        <w:pStyle w:val="BodyText-parastyle"/>
      </w:pPr>
      <w:r w:rsidRPr="00966A86">
        <w:rPr>
          <w:b/>
        </w:rPr>
        <w:t>Links to other support mechanisms</w:t>
      </w:r>
      <w:r>
        <w:t xml:space="preserve"> – t</w:t>
      </w:r>
      <w:r w:rsidRPr="00966A86">
        <w:t xml:space="preserve">he Social Prescribing projects have </w:t>
      </w:r>
      <w:r>
        <w:t xml:space="preserve">established relationships and worked with other professionals to promote the projects and increase referrals, for example by attending </w:t>
      </w:r>
      <w:r w:rsidRPr="00B205EC">
        <w:t>locality hub MDT meetings</w:t>
      </w:r>
      <w:r>
        <w:t xml:space="preserve">. In addition they have participated in a number of wider forums / groups to promote learning from the pilot projects, including participation in the National Social Prescribing Network as well as the </w:t>
      </w:r>
      <w:r w:rsidRPr="00966A86">
        <w:t xml:space="preserve">Essex Social Prescribing Network </w:t>
      </w:r>
      <w:r>
        <w:t>and</w:t>
      </w:r>
      <w:r w:rsidRPr="00966A86">
        <w:t xml:space="preserve"> the Regional Social Prescribing Forum.</w:t>
      </w:r>
    </w:p>
    <w:p w14:paraId="395179C8" w14:textId="77777777" w:rsidR="00170B6B" w:rsidRDefault="00170B6B" w:rsidP="00170B6B">
      <w:pPr>
        <w:pStyle w:val="BodyText-parastyle"/>
      </w:pPr>
      <w:r w:rsidRPr="00966A86">
        <w:rPr>
          <w:b/>
        </w:rPr>
        <w:t>VCS infrastructure</w:t>
      </w:r>
      <w:r>
        <w:t xml:space="preserve"> – the Social Prescribing projects have </w:t>
      </w:r>
      <w:r w:rsidRPr="00966A86">
        <w:t>been supported by a number of VCS organisations that service users were referred to</w:t>
      </w:r>
      <w:r>
        <w:t xml:space="preserve">. These have included </w:t>
      </w:r>
      <w:r w:rsidRPr="00966A86">
        <w:t xml:space="preserve">a broad range of services and organisations </w:t>
      </w:r>
      <w:r>
        <w:t>from</w:t>
      </w:r>
      <w:r w:rsidRPr="00966A86">
        <w:t xml:space="preserve"> both </w:t>
      </w:r>
      <w:r>
        <w:t xml:space="preserve">the </w:t>
      </w:r>
      <w:r w:rsidRPr="00966A86">
        <w:t xml:space="preserve">public </w:t>
      </w:r>
      <w:r>
        <w:t>and</w:t>
      </w:r>
      <w:r w:rsidRPr="00966A86">
        <w:t xml:space="preserve"> third sector. </w:t>
      </w:r>
    </w:p>
    <w:p w14:paraId="05B9BBBC" w14:textId="77777777" w:rsidR="00170B6B" w:rsidRDefault="00170B6B" w:rsidP="00170B6B">
      <w:pPr>
        <w:pStyle w:val="BodyText-parastyle"/>
      </w:pPr>
      <w:r w:rsidRPr="00966A86">
        <w:rPr>
          <w:b/>
        </w:rPr>
        <w:t>Wider infrastructure</w:t>
      </w:r>
      <w:r>
        <w:t xml:space="preserve"> – the Social Prescribing projects have worked with and helped to develop community capacity / local assets. Specific examples include:</w:t>
      </w:r>
    </w:p>
    <w:p w14:paraId="4163D91D" w14:textId="77777777" w:rsidR="00170B6B" w:rsidRPr="00BE5122" w:rsidRDefault="00170B6B" w:rsidP="00170B6B">
      <w:pPr>
        <w:pStyle w:val="ListParagraph"/>
        <w:rPr>
          <w:rFonts w:eastAsia="Times New Roman"/>
          <w:lang w:val="en-GB" w:eastAsia="en-GB"/>
        </w:rPr>
      </w:pPr>
      <w:r w:rsidRPr="00BE5122">
        <w:t xml:space="preserve">Colchester Borough Council </w:t>
      </w:r>
      <w:r>
        <w:t xml:space="preserve">/ library - </w:t>
      </w:r>
      <w:r w:rsidRPr="00BE5122">
        <w:t>My Social Prescription staff have served as steering group committee members and attended workshops to design new look services at Colchester Library, including sharing lessons from the My Social Prescription project.  Since August 2015 project staff have facilitated attendance of community projects (including My Social Prescription staff and volunteers, as well as partner voluntary groups) for two mornings a week and provided additional volunteers for one-off events (i.e. New Year, New You and Go Online sessions). The project has also jointly trained hub staff (in excess of 30 people) on My Social Prescription in order to promote referrals into the project</w:t>
      </w:r>
      <w:r>
        <w:t>.</w:t>
      </w:r>
      <w:r w:rsidRPr="00BE5122">
        <w:t xml:space="preserve">  </w:t>
      </w:r>
    </w:p>
    <w:p w14:paraId="2E8D01C2" w14:textId="77777777" w:rsidR="00170B6B" w:rsidRPr="00BE5122" w:rsidRDefault="00170B6B" w:rsidP="00170B6B">
      <w:pPr>
        <w:pStyle w:val="ListParagraph"/>
        <w:rPr>
          <w:rFonts w:eastAsia="Times New Roman"/>
          <w:lang w:val="en-GB" w:eastAsia="en-GB"/>
        </w:rPr>
      </w:pPr>
      <w:r>
        <w:t xml:space="preserve">Social workers – My Social Prescription </w:t>
      </w:r>
      <w:r w:rsidRPr="00BE5122">
        <w:t>host</w:t>
      </w:r>
      <w:r>
        <w:t xml:space="preserve">ed </w:t>
      </w:r>
      <w:r w:rsidRPr="00BE5122">
        <w:t xml:space="preserve">Social Care development days/meetings with local social workers that has changed the way in which social workers relate to the voluntary sector, improved their knowledge and created stronger relationships </w:t>
      </w:r>
      <w:r>
        <w:t>which</w:t>
      </w:r>
      <w:r w:rsidRPr="00BE5122">
        <w:t xml:space="preserve"> is reflected in the high number of referrals to the pr</w:t>
      </w:r>
      <w:r>
        <w:t xml:space="preserve">oject from social care staff.  </w:t>
      </w:r>
      <w:r w:rsidRPr="00BE5122">
        <w:t xml:space="preserve">When new social workers join the team, they now visit with a social prescriber, learn about the </w:t>
      </w:r>
      <w:r>
        <w:t>VCS</w:t>
      </w:r>
      <w:r w:rsidRPr="00BE5122">
        <w:t xml:space="preserve"> and how they can refer into the project. </w:t>
      </w:r>
    </w:p>
    <w:p w14:paraId="7289293E" w14:textId="77777777" w:rsidR="00170B6B" w:rsidRPr="00BE5122" w:rsidRDefault="00170B6B" w:rsidP="00170B6B">
      <w:pPr>
        <w:pStyle w:val="ListParagraph"/>
        <w:rPr>
          <w:rFonts w:eastAsia="Times New Roman"/>
          <w:lang w:val="en-GB" w:eastAsia="en-GB"/>
        </w:rPr>
      </w:pPr>
      <w:r>
        <w:t xml:space="preserve">Connect Well – the online </w:t>
      </w:r>
      <w:r w:rsidRPr="00BE5122">
        <w:t xml:space="preserve">Connect </w:t>
      </w:r>
      <w:r>
        <w:t>W</w:t>
      </w:r>
      <w:r w:rsidRPr="00BE5122">
        <w:t xml:space="preserve">ell </w:t>
      </w:r>
      <w:r>
        <w:t xml:space="preserve">referral system </w:t>
      </w:r>
      <w:r w:rsidRPr="00BE5122">
        <w:t xml:space="preserve">was implemented as part of the </w:t>
      </w:r>
      <w:r>
        <w:t>S</w:t>
      </w:r>
      <w:r w:rsidRPr="00BE5122">
        <w:t xml:space="preserve">ocial </w:t>
      </w:r>
      <w:r>
        <w:t>P</w:t>
      </w:r>
      <w:r w:rsidRPr="00BE5122">
        <w:t xml:space="preserve">rescribing project  </w:t>
      </w:r>
    </w:p>
    <w:p w14:paraId="13003174" w14:textId="77777777" w:rsidR="00170B6B" w:rsidRDefault="00170B6B" w:rsidP="00170B6B">
      <w:pPr>
        <w:pStyle w:val="BodyText-parastyle"/>
      </w:pPr>
      <w:r w:rsidRPr="00BE5122">
        <w:rPr>
          <w:b/>
        </w:rPr>
        <w:t>Training of volunteers / Champions</w:t>
      </w:r>
      <w:r>
        <w:t xml:space="preserve"> – all of the Social Prescribing projects have used volunteers to support delivery and</w:t>
      </w:r>
      <w:r w:rsidRPr="00634ECB">
        <w:t xml:space="preserve"> 424 Connect Well Champions were trained in Social Prescribing, ABCD, Connect Well and Making Every Contact Count durin</w:t>
      </w:r>
      <w:r>
        <w:t xml:space="preserve">g February 2016 – 31 March 2017.  </w:t>
      </w:r>
    </w:p>
    <w:p w14:paraId="0975E16C" w14:textId="77777777" w:rsidR="00170B6B" w:rsidRDefault="00170B6B" w:rsidP="00170B6B">
      <w:pPr>
        <w:pStyle w:val="BodyText-parastyle"/>
      </w:pPr>
      <w:r>
        <w:t xml:space="preserve">The interim report identified the </w:t>
      </w:r>
      <w:r w:rsidRPr="00D1004D">
        <w:t xml:space="preserve">need to build on the existing shared learning across the </w:t>
      </w:r>
      <w:r>
        <w:t>provider organisations</w:t>
      </w:r>
      <w:r w:rsidRPr="00D1004D">
        <w:t xml:space="preserve"> in order to ensure the outcomes delivered can be maximised</w:t>
      </w:r>
      <w:r>
        <w:t xml:space="preserve">. Thereafter ECC increased plans to share learning </w:t>
      </w:r>
      <w:r w:rsidRPr="00D1004D">
        <w:t>base</w:t>
      </w:r>
      <w:r>
        <w:t xml:space="preserve">d on the interim report, including </w:t>
      </w:r>
      <w:r w:rsidRPr="00D87C37">
        <w:t xml:space="preserve">a </w:t>
      </w:r>
      <w:r>
        <w:t>w</w:t>
      </w:r>
      <w:r w:rsidRPr="00D87C37">
        <w:t>orkshop which agreed key prin</w:t>
      </w:r>
      <w:r>
        <w:t xml:space="preserve">ciples and direction of travel for an Essex wide Community Support Network that will align several similar commissioned services. This </w:t>
      </w:r>
      <w:r w:rsidRPr="00D1004D">
        <w:t>Network</w:t>
      </w:r>
      <w:r>
        <w:t xml:space="preserve"> will be </w:t>
      </w:r>
      <w:r w:rsidRPr="00D1004D">
        <w:t>reconstitut</w:t>
      </w:r>
      <w:r>
        <w:t>ed</w:t>
      </w:r>
      <w:r w:rsidRPr="00D1004D">
        <w:t xml:space="preserve"> to share good practice</w:t>
      </w:r>
      <w:r>
        <w:t xml:space="preserve"> and successful outcomes. </w:t>
      </w:r>
    </w:p>
    <w:p w14:paraId="0A559B25" w14:textId="77777777" w:rsidR="00170B6B" w:rsidRPr="004C31FA" w:rsidRDefault="00170B6B" w:rsidP="00170B6B">
      <w:pPr>
        <w:pStyle w:val="BodyText-parastyle"/>
      </w:pPr>
      <w:r w:rsidRPr="004C31FA">
        <w:rPr>
          <w:b/>
          <w:color w:val="00B0F0"/>
        </w:rPr>
        <w:t>Recommendation:</w:t>
      </w:r>
      <w:r w:rsidRPr="004C31FA">
        <w:rPr>
          <w:color w:val="00B0F0"/>
        </w:rPr>
        <w:t xml:space="preserve"> </w:t>
      </w:r>
      <w:r w:rsidRPr="004C31FA">
        <w:t>W</w:t>
      </w:r>
      <w:r>
        <w:t xml:space="preserve">e welcome the work planned to increase shared learning and suggest that the plan of work is monitored quarterly, including feedback from those involved to ensure the activities are delivering.  </w:t>
      </w:r>
    </w:p>
    <w:p w14:paraId="112D82AE" w14:textId="77777777" w:rsidR="00170B6B" w:rsidRPr="004C31FA" w:rsidRDefault="00170B6B" w:rsidP="00170B6B">
      <w:pPr>
        <w:pStyle w:val="Heading2"/>
      </w:pPr>
      <w:bookmarkStart w:id="90" w:name="_Toc497934313"/>
      <w:r>
        <w:t xml:space="preserve">Summary- </w:t>
      </w:r>
      <w:r w:rsidRPr="004C31FA">
        <w:t>Key Model Components</w:t>
      </w:r>
      <w:bookmarkEnd w:id="90"/>
    </w:p>
    <w:p w14:paraId="19FB1572" w14:textId="77777777" w:rsidR="00170B6B" w:rsidRPr="004C31FA" w:rsidRDefault="00170B6B" w:rsidP="00170B6B">
      <w:pPr>
        <w:pStyle w:val="BodyText-parastyle"/>
      </w:pPr>
      <w:r w:rsidRPr="004C31FA">
        <w:t>Based on the evidence presented in this report indicative key criteria for successful and effective Social Prescribing model</w:t>
      </w:r>
      <w:r>
        <w:t>s</w:t>
      </w:r>
      <w:r w:rsidRPr="004C31FA">
        <w:t xml:space="preserve"> are:</w:t>
      </w:r>
    </w:p>
    <w:p w14:paraId="50726DC9" w14:textId="6F505754" w:rsidR="00170B6B" w:rsidRPr="004C31FA" w:rsidRDefault="00170B6B" w:rsidP="00170B6B">
      <w:pPr>
        <w:pStyle w:val="ListParagraph"/>
      </w:pPr>
      <w:r>
        <w:rPr>
          <w:color w:val="00B0F0"/>
        </w:rPr>
        <w:t xml:space="preserve">Simple and easy referral process – </w:t>
      </w:r>
      <w:r w:rsidRPr="00401C03">
        <w:t xml:space="preserve">processes </w:t>
      </w:r>
      <w:r w:rsidRPr="004C31FA">
        <w:t>that can work for a number of diffe</w:t>
      </w:r>
      <w:r>
        <w:t>rent referral sources and avoid</w:t>
      </w:r>
      <w:r w:rsidRPr="004C31FA">
        <w:t xml:space="preserve"> too much time being required / invested by those making the referral</w:t>
      </w:r>
      <w:r>
        <w:t xml:space="preserve">.  For </w:t>
      </w:r>
      <w:r w:rsidR="003C333D">
        <w:t>example,</w:t>
      </w:r>
      <w:r>
        <w:t xml:space="preserve"> for GPs if the referral process is incorporated into their own systems such as SystmOne they are more likely to implement.  </w:t>
      </w:r>
    </w:p>
    <w:p w14:paraId="50EA9AC6" w14:textId="77777777" w:rsidR="00170B6B" w:rsidRPr="004C31FA" w:rsidRDefault="00170B6B" w:rsidP="00170B6B">
      <w:pPr>
        <w:pStyle w:val="ListParagraph"/>
      </w:pPr>
      <w:r w:rsidRPr="004C31FA">
        <w:rPr>
          <w:color w:val="00B0F0"/>
        </w:rPr>
        <w:t>Promotion of the service</w:t>
      </w:r>
      <w:r>
        <w:rPr>
          <w:color w:val="00B0F0"/>
        </w:rPr>
        <w:t xml:space="preserve"> and its benefits</w:t>
      </w:r>
      <w:r w:rsidRPr="004C31FA">
        <w:rPr>
          <w:color w:val="00B0F0"/>
        </w:rPr>
        <w:t xml:space="preserve"> amongst GPs</w:t>
      </w:r>
      <w:r>
        <w:rPr>
          <w:color w:val="00B0F0"/>
        </w:rPr>
        <w:t xml:space="preserve"> - </w:t>
      </w:r>
      <w:r w:rsidRPr="00401C03">
        <w:t xml:space="preserve">GP buy in is essential and processes/ resources need to be in place to ensure GPs are aware and </w:t>
      </w:r>
      <w:r>
        <w:t>updated on</w:t>
      </w:r>
      <w:r w:rsidRPr="00401C03">
        <w:t xml:space="preserve"> how Social Prescribing can</w:t>
      </w:r>
      <w:r>
        <w:t xml:space="preserve"> support their practice / work. </w:t>
      </w:r>
      <w:r w:rsidRPr="00401C03">
        <w:t xml:space="preserve">The CCGs are best placed to support this effort in the first instance.  </w:t>
      </w:r>
      <w:r w:rsidRPr="004C31FA">
        <w:t xml:space="preserve"> </w:t>
      </w:r>
    </w:p>
    <w:p w14:paraId="53408734" w14:textId="77777777" w:rsidR="00170B6B" w:rsidRPr="004C31FA" w:rsidRDefault="00170B6B" w:rsidP="00170B6B">
      <w:pPr>
        <w:pStyle w:val="ListParagraph"/>
      </w:pPr>
      <w:r>
        <w:rPr>
          <w:color w:val="00B0F0"/>
        </w:rPr>
        <w:t xml:space="preserve">Output and outcome indicators </w:t>
      </w:r>
      <w:r w:rsidRPr="004C31FA">
        <w:rPr>
          <w:color w:val="00B0F0"/>
        </w:rPr>
        <w:t>set are SMART, reflect the target group</w:t>
      </w:r>
      <w:r>
        <w:rPr>
          <w:color w:val="00B0F0"/>
        </w:rPr>
        <w:t xml:space="preserve">, </w:t>
      </w:r>
      <w:r w:rsidRPr="004C31FA">
        <w:rPr>
          <w:color w:val="00B0F0"/>
        </w:rPr>
        <w:t>and are robustly monitored on a regular basis</w:t>
      </w:r>
      <w:r w:rsidRPr="00401C03">
        <w:rPr>
          <w:color w:val="00B0F0"/>
        </w:rPr>
        <w:t xml:space="preserve"> -</w:t>
      </w:r>
      <w:r>
        <w:t xml:space="preserve"> there should be consistency between funders on project indicators/ targets and monitoring reports showing progress against these should be sent to funders on a regular basis.  </w:t>
      </w:r>
    </w:p>
    <w:p w14:paraId="6D8FB798" w14:textId="77777777" w:rsidR="00170B6B" w:rsidRPr="004C31FA" w:rsidRDefault="00170B6B" w:rsidP="00170B6B">
      <w:pPr>
        <w:pStyle w:val="ListParagraph"/>
      </w:pPr>
      <w:r w:rsidRPr="004C31FA">
        <w:rPr>
          <w:color w:val="00B0F0"/>
        </w:rPr>
        <w:t>Use of existing infrastructure / local assets to support delivery</w:t>
      </w:r>
      <w:r>
        <w:rPr>
          <w:color w:val="00B0F0"/>
        </w:rPr>
        <w:t xml:space="preserve"> - </w:t>
      </w:r>
      <w:r>
        <w:t>a</w:t>
      </w:r>
      <w:r w:rsidRPr="00401C03">
        <w:t>ll areas have local assets and it is important that the S</w:t>
      </w:r>
      <w:r>
        <w:t xml:space="preserve">ocial </w:t>
      </w:r>
      <w:r w:rsidRPr="00401C03">
        <w:t>P</w:t>
      </w:r>
      <w:r>
        <w:t>rescribing</w:t>
      </w:r>
      <w:r w:rsidRPr="00401C03">
        <w:t xml:space="preserve"> providers </w:t>
      </w:r>
      <w:r>
        <w:t>are linked into these and utilis</w:t>
      </w:r>
      <w:r w:rsidRPr="00401C03">
        <w:t>ing them where a</w:t>
      </w:r>
      <w:r>
        <w:t xml:space="preserve">ppropriate to support delivery. </w:t>
      </w:r>
      <w:r w:rsidRPr="00401C03">
        <w:t xml:space="preserve">The development and maintenance of relationship(s) </w:t>
      </w:r>
      <w:r w:rsidRPr="004C31FA">
        <w:t xml:space="preserve">with other voluntary organisations, outreach and referral agencies </w:t>
      </w:r>
      <w:r>
        <w:t>are all essential to success.</w:t>
      </w:r>
      <w:r w:rsidRPr="00401C03">
        <w:t xml:space="preserve"> Volunteers</w:t>
      </w:r>
      <w:r w:rsidRPr="004C31FA">
        <w:t xml:space="preserve"> can be</w:t>
      </w:r>
      <w:r>
        <w:t xml:space="preserve"> </w:t>
      </w:r>
      <w:r w:rsidRPr="004C31FA">
        <w:t>used to support the project</w:t>
      </w:r>
      <w:r>
        <w:t>,</w:t>
      </w:r>
      <w:r w:rsidRPr="004C31FA">
        <w:t xml:space="preserve"> however delivery should not be dependent on their recruitment and continued support</w:t>
      </w:r>
      <w:r>
        <w:t xml:space="preserve">, </w:t>
      </w:r>
      <w:r w:rsidRPr="004C31FA">
        <w:t>which cannot be guaranteed and can affect the success of project</w:t>
      </w:r>
      <w:r>
        <w:t>.</w:t>
      </w:r>
    </w:p>
    <w:p w14:paraId="3D833D07" w14:textId="77777777" w:rsidR="00170B6B" w:rsidRPr="004C31FA" w:rsidRDefault="00170B6B" w:rsidP="00170B6B">
      <w:pPr>
        <w:pStyle w:val="ListParagraph"/>
        <w:rPr>
          <w:color w:val="00B0F0"/>
        </w:rPr>
      </w:pPr>
      <w:r w:rsidRPr="004C31FA">
        <w:rPr>
          <w:color w:val="00B0F0"/>
        </w:rPr>
        <w:t>Flexibility to adapt to processes and delivery to meet locality demands / needs</w:t>
      </w:r>
      <w:r>
        <w:rPr>
          <w:color w:val="00B0F0"/>
        </w:rPr>
        <w:t xml:space="preserve"> </w:t>
      </w:r>
      <w:r w:rsidRPr="00401C03">
        <w:t xml:space="preserve">- </w:t>
      </w:r>
      <w:r>
        <w:t>l</w:t>
      </w:r>
      <w:r w:rsidRPr="00401C03">
        <w:t>ocal situations change and providers need to be able to adapt t</w:t>
      </w:r>
      <w:r>
        <w:t>heir delivery models whilst stay</w:t>
      </w:r>
      <w:r w:rsidRPr="00401C03">
        <w:t>ing focused on the outcomes required</w:t>
      </w:r>
      <w:r>
        <w:t>.</w:t>
      </w:r>
      <w:r w:rsidRPr="00401C03">
        <w:t xml:space="preserve"> </w:t>
      </w:r>
    </w:p>
    <w:p w14:paraId="12C5EDBE" w14:textId="6EC9044A" w:rsidR="00170B6B" w:rsidRDefault="00170B6B" w:rsidP="00170B6B">
      <w:pPr>
        <w:pStyle w:val="BodyText-italics"/>
      </w:pPr>
      <w:r w:rsidRPr="004C31FA">
        <w:t>Any future Social Prescribing model must reflect local needs, context and existing resources and services at an area level.</w:t>
      </w:r>
    </w:p>
    <w:p w14:paraId="61943856" w14:textId="0A9E7A2F" w:rsidR="00720CC0" w:rsidRDefault="00720CC0" w:rsidP="00AE785D">
      <w:pPr>
        <w:pStyle w:val="BodyText-parastyle"/>
      </w:pPr>
    </w:p>
    <w:p w14:paraId="46823430" w14:textId="77777777" w:rsidR="00BC0114" w:rsidRDefault="00BC0114" w:rsidP="00BC0114">
      <w:pPr>
        <w:pStyle w:val="AppendixHeader"/>
      </w:pPr>
      <w:bookmarkStart w:id="91" w:name="_Toc472945043"/>
      <w:bookmarkStart w:id="92" w:name="_Toc487652120"/>
      <w:bookmarkStart w:id="93" w:name="_Toc493160623"/>
      <w:r w:rsidRPr="00D2405C">
        <w:t xml:space="preserve">APPENDIX </w:t>
      </w:r>
      <w:r>
        <w:t>1</w:t>
      </w:r>
      <w:r w:rsidRPr="00D2405C">
        <w:t>: SERVICE USER BASELINE QUESTIONNAIRE</w:t>
      </w:r>
      <w:bookmarkEnd w:id="91"/>
      <w:bookmarkEnd w:id="92"/>
      <w:bookmarkEnd w:id="93"/>
    </w:p>
    <w:p w14:paraId="70D555BD" w14:textId="77777777" w:rsidR="00BC0114" w:rsidRDefault="00BC0114" w:rsidP="00AE785D">
      <w:pPr>
        <w:pStyle w:val="BodyText-parastyle"/>
        <w:rPr>
          <w:rStyle w:val="Strong"/>
        </w:rPr>
      </w:pPr>
      <w:r>
        <w:br w:type="page"/>
      </w:r>
      <w:r w:rsidRPr="00591CC5">
        <w:rPr>
          <w:rStyle w:val="Strong"/>
        </w:rPr>
        <w:t>Purpose of Survey</w:t>
      </w:r>
      <w:r>
        <w:rPr>
          <w:rStyle w:val="Strong"/>
        </w:rPr>
        <w:t>:</w:t>
      </w:r>
    </w:p>
    <w:p w14:paraId="4347282D" w14:textId="712046A0" w:rsidR="00BC0114" w:rsidRPr="007B2A96" w:rsidRDefault="00BC0114" w:rsidP="00AE785D">
      <w:pPr>
        <w:pStyle w:val="BodyText-parastyle"/>
        <w:rPr>
          <w:rStyle w:val="Strong"/>
          <w:b w:val="0"/>
        </w:rPr>
      </w:pPr>
      <w:r>
        <w:rPr>
          <w:rStyle w:val="Strong"/>
          <w:b w:val="0"/>
        </w:rPr>
        <w:t xml:space="preserve">RSM </w:t>
      </w:r>
      <w:r w:rsidRPr="007B2A96">
        <w:rPr>
          <w:rStyle w:val="Strong"/>
          <w:b w:val="0"/>
        </w:rPr>
        <w:t xml:space="preserve">PACEC have been appointed by Essex County Council to undertake a review of </w:t>
      </w:r>
      <w:r>
        <w:rPr>
          <w:rStyle w:val="Strong"/>
          <w:b w:val="0"/>
        </w:rPr>
        <w:t xml:space="preserve">six </w:t>
      </w:r>
      <w:r w:rsidRPr="007B2A96">
        <w:rPr>
          <w:rStyle w:val="Strong"/>
          <w:b w:val="0"/>
        </w:rPr>
        <w:t>Social Prescribing Models across Essex</w:t>
      </w:r>
      <w:r>
        <w:rPr>
          <w:rStyle w:val="Strong"/>
          <w:b w:val="0"/>
        </w:rPr>
        <w:t>.  As part of this process we are conducting two surveys – one with service users when they first receive support and one three months later to capture feedback on their experience of the service and impact of the support provided.  The baseline survey is designed to gather information on health and wellbeing prior to receiving support from the service.</w:t>
      </w:r>
    </w:p>
    <w:p w14:paraId="1BDD2223" w14:textId="77777777" w:rsidR="00BC0114" w:rsidRPr="00591CC5" w:rsidRDefault="00BC0114" w:rsidP="00AE785D">
      <w:pPr>
        <w:pStyle w:val="BodyText-parastyle"/>
        <w:rPr>
          <w:rStyle w:val="Strong"/>
        </w:rPr>
      </w:pPr>
      <w:r w:rsidRPr="00591CC5">
        <w:rPr>
          <w:rStyle w:val="Strong"/>
        </w:rPr>
        <w:t>Who this survey is for</w:t>
      </w:r>
      <w:r>
        <w:rPr>
          <w:rStyle w:val="Strong"/>
        </w:rPr>
        <w:t>:</w:t>
      </w:r>
    </w:p>
    <w:p w14:paraId="0D735FC0" w14:textId="77777777" w:rsidR="00BC0114" w:rsidRPr="00591CC5" w:rsidRDefault="00BC0114" w:rsidP="00AE785D">
      <w:pPr>
        <w:pStyle w:val="BodyText-parastyle"/>
        <w:rPr>
          <w:rStyle w:val="Strong"/>
          <w:b w:val="0"/>
        </w:rPr>
      </w:pPr>
      <w:r w:rsidRPr="00591CC5">
        <w:rPr>
          <w:rStyle w:val="Strong"/>
          <w:b w:val="0"/>
        </w:rPr>
        <w:t xml:space="preserve">This survey is for </w:t>
      </w:r>
      <w:r>
        <w:rPr>
          <w:rStyle w:val="Strong"/>
          <w:b w:val="0"/>
        </w:rPr>
        <w:t xml:space="preserve">clients that have started one of the Social Prescribing services in July 2016.  Please note that respondents do not have to answer all questions if they do not wish to.  </w:t>
      </w:r>
      <w:r w:rsidRPr="00876449">
        <w:rPr>
          <w:rStyle w:val="Strong"/>
          <w:b w:val="0"/>
        </w:rPr>
        <w:t>This questionnaire will be used in conversation with the service user and will not be posted or emailed.</w:t>
      </w:r>
    </w:p>
    <w:p w14:paraId="1E2D03B9" w14:textId="77777777" w:rsidR="00BC0114" w:rsidRDefault="00BC0114" w:rsidP="00AE785D">
      <w:pPr>
        <w:pStyle w:val="BodyText-parastyle"/>
        <w:rPr>
          <w:rStyle w:val="Strong"/>
        </w:rPr>
      </w:pPr>
      <w:r>
        <w:rPr>
          <w:rStyle w:val="Strong"/>
        </w:rPr>
        <w:t xml:space="preserve">How your responses </w:t>
      </w:r>
      <w:r w:rsidRPr="00591CC5">
        <w:rPr>
          <w:rStyle w:val="Strong"/>
        </w:rPr>
        <w:t>will be used</w:t>
      </w:r>
      <w:r>
        <w:rPr>
          <w:rStyle w:val="Strong"/>
        </w:rPr>
        <w:t>:</w:t>
      </w:r>
    </w:p>
    <w:p w14:paraId="3FF481CF" w14:textId="77777777" w:rsidR="00BC0114" w:rsidRDefault="00BC0114" w:rsidP="00AE785D">
      <w:pPr>
        <w:pStyle w:val="BodyText-parastyle"/>
        <w:rPr>
          <w:rStyle w:val="Strong"/>
          <w:b w:val="0"/>
        </w:rPr>
      </w:pPr>
      <w:r w:rsidRPr="00591CC5">
        <w:rPr>
          <w:rStyle w:val="Strong"/>
          <w:b w:val="0"/>
        </w:rPr>
        <w:t>This survey is confidential</w:t>
      </w:r>
      <w:r>
        <w:rPr>
          <w:rStyle w:val="Strong"/>
          <w:b w:val="0"/>
        </w:rPr>
        <w:t>.</w:t>
      </w:r>
      <w:r w:rsidRPr="00591CC5">
        <w:rPr>
          <w:rStyle w:val="Strong"/>
          <w:b w:val="0"/>
        </w:rPr>
        <w:t xml:space="preserve"> The information provide</w:t>
      </w:r>
      <w:r>
        <w:rPr>
          <w:rStyle w:val="Strong"/>
          <w:b w:val="0"/>
        </w:rPr>
        <w:t>d</w:t>
      </w:r>
      <w:r w:rsidRPr="00591CC5">
        <w:rPr>
          <w:rStyle w:val="Strong"/>
          <w:b w:val="0"/>
        </w:rPr>
        <w:t xml:space="preserve"> will be treated with confidence and used for the purposes of this research only</w:t>
      </w:r>
      <w:r>
        <w:rPr>
          <w:rStyle w:val="Strong"/>
          <w:b w:val="0"/>
        </w:rPr>
        <w:t>.</w:t>
      </w:r>
    </w:p>
    <w:p w14:paraId="2224C57B" w14:textId="77777777" w:rsidR="00BC0114" w:rsidRPr="00AF4FDC" w:rsidRDefault="00BC0114" w:rsidP="00AE785D">
      <w:pPr>
        <w:pStyle w:val="BodyText-parastyle"/>
        <w:rPr>
          <w:rStyle w:val="Strong"/>
          <w:b w:val="0"/>
          <w:color w:val="FF0000"/>
        </w:rPr>
      </w:pPr>
      <w:r w:rsidRPr="00AF4FDC">
        <w:rPr>
          <w:rStyle w:val="Strong"/>
          <w:color w:val="FF0000"/>
        </w:rPr>
        <w:t>Note:</w:t>
      </w:r>
      <w:r w:rsidRPr="00AF4FDC">
        <w:rPr>
          <w:rStyle w:val="Strong"/>
          <w:b w:val="0"/>
          <w:color w:val="FF0000"/>
        </w:rPr>
        <w:t xml:space="preserve"> </w:t>
      </w:r>
      <w:r>
        <w:rPr>
          <w:rStyle w:val="Strong"/>
          <w:b w:val="0"/>
          <w:color w:val="FF0000"/>
        </w:rPr>
        <w:t>This questionnaire should only be completed with</w:t>
      </w:r>
      <w:r w:rsidRPr="00AF4FDC">
        <w:rPr>
          <w:rStyle w:val="Strong"/>
          <w:b w:val="0"/>
          <w:color w:val="FF0000"/>
        </w:rPr>
        <w:t xml:space="preserve"> clients / service users that have provided consent for their contact details and personal information to be shared for evaluation purposes</w:t>
      </w:r>
      <w:r>
        <w:rPr>
          <w:rStyle w:val="Strong"/>
          <w:b w:val="0"/>
          <w:color w:val="FF0000"/>
        </w:rPr>
        <w:t xml:space="preserve">.  </w:t>
      </w:r>
      <w:r w:rsidRPr="00943108">
        <w:rPr>
          <w:rStyle w:val="Strong"/>
          <w:b w:val="0"/>
          <w:color w:val="FF0000"/>
          <w:u w:val="single"/>
        </w:rPr>
        <w:t>This should be confirmed before the questionnaire is completed</w:t>
      </w:r>
      <w:r>
        <w:rPr>
          <w:rStyle w:val="Strong"/>
          <w:b w:val="0"/>
          <w:color w:val="FF0000"/>
        </w:rPr>
        <w:t>.</w:t>
      </w:r>
    </w:p>
    <w:p w14:paraId="77B8CD02" w14:textId="77777777" w:rsidR="00BC0114" w:rsidRPr="00876449" w:rsidRDefault="00BC0114" w:rsidP="00BC0114">
      <w:pPr>
        <w:pStyle w:val="BodyText-italics"/>
        <w:rPr>
          <w:rStyle w:val="Strong"/>
          <w:bCs/>
          <w:iCs/>
          <w:color w:val="FF0000"/>
        </w:rPr>
      </w:pPr>
      <w:r w:rsidRPr="009D37C5">
        <w:rPr>
          <w:rStyle w:val="Strong"/>
          <w:color w:val="FF0000"/>
        </w:rPr>
        <w:t>Note (to be read out to data subject before questionnaire is conducted):</w:t>
      </w:r>
      <w:r w:rsidRPr="00876449">
        <w:rPr>
          <w:rStyle w:val="Strong"/>
          <w:color w:val="FF0000"/>
        </w:rPr>
        <w:t xml:space="preserve"> Your personal information has been provided to us by </w:t>
      </w:r>
      <w:r>
        <w:rPr>
          <w:rStyle w:val="Strong"/>
          <w:color w:val="FF0000"/>
        </w:rPr>
        <w:t>[</w:t>
      </w:r>
      <w:r w:rsidRPr="00BC0114">
        <w:rPr>
          <w:rStyle w:val="Strong"/>
          <w:i/>
          <w:color w:val="FF0000"/>
        </w:rPr>
        <w:t>refer to name of organisation that provided the contact details</w:t>
      </w:r>
      <w:r w:rsidRPr="00BC0114">
        <w:rPr>
          <w:rStyle w:val="Strong"/>
          <w:color w:val="FF0000"/>
        </w:rPr>
        <w:t>] under your</w:t>
      </w:r>
      <w:r w:rsidRPr="00876449">
        <w:rPr>
          <w:rStyle w:val="Strong"/>
          <w:color w:val="FF0000"/>
        </w:rPr>
        <w:t xml:space="preserve"> consent. This information and the responses in this questionnaire will be securely stored and will not be shared or utilised for any other purpose than which you have given consent.</w:t>
      </w:r>
    </w:p>
    <w:p w14:paraId="079DB0F4" w14:textId="77777777" w:rsidR="00BC0114" w:rsidRPr="00097707" w:rsidRDefault="00BC0114" w:rsidP="00AE785D">
      <w:pPr>
        <w:pStyle w:val="BodyText-parastylebold"/>
        <w:rPr>
          <w:rStyle w:val="Strong"/>
          <w:b/>
        </w:rPr>
      </w:pPr>
      <w:r w:rsidRPr="00097707">
        <w:rPr>
          <w:rStyle w:val="Strong"/>
          <w:b/>
        </w:rPr>
        <w:t xml:space="preserve">Background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3999"/>
        <w:gridCol w:w="3573"/>
        <w:gridCol w:w="1389"/>
      </w:tblGrid>
      <w:tr w:rsidR="00BC0114" w:rsidRPr="004E34FD" w14:paraId="5CDCBA5D" w14:textId="77777777" w:rsidTr="002771E9">
        <w:trPr>
          <w:trHeight w:val="482"/>
          <w:tblHeader/>
        </w:trPr>
        <w:tc>
          <w:tcPr>
            <w:tcW w:w="283" w:type="pct"/>
            <w:shd w:val="clear" w:color="auto" w:fill="E0E0E0"/>
            <w:vAlign w:val="center"/>
          </w:tcPr>
          <w:p w14:paraId="479A316B" w14:textId="77777777" w:rsidR="00BC0114" w:rsidRPr="004E34FD" w:rsidRDefault="00BC0114" w:rsidP="00BC0114">
            <w:pPr>
              <w:widowControl/>
              <w:numPr>
                <w:ilvl w:val="0"/>
                <w:numId w:val="38"/>
              </w:numPr>
              <w:tabs>
                <w:tab w:val="num" w:pos="682"/>
              </w:tabs>
              <w:spacing w:line="360" w:lineRule="auto"/>
              <w:jc w:val="both"/>
              <w:rPr>
                <w:b/>
              </w:rPr>
            </w:pPr>
          </w:p>
        </w:tc>
        <w:tc>
          <w:tcPr>
            <w:tcW w:w="4717" w:type="pct"/>
            <w:gridSpan w:val="3"/>
            <w:shd w:val="clear" w:color="auto" w:fill="E0E0E0"/>
            <w:vAlign w:val="center"/>
          </w:tcPr>
          <w:p w14:paraId="0166B93B" w14:textId="77777777" w:rsidR="00BC0114" w:rsidRPr="004E34FD" w:rsidRDefault="00BC0114" w:rsidP="002D5FA9">
            <w:pPr>
              <w:spacing w:line="360" w:lineRule="auto"/>
              <w:jc w:val="both"/>
              <w:rPr>
                <w:b/>
                <w:szCs w:val="24"/>
                <w:lang w:val="en-IE"/>
              </w:rPr>
            </w:pPr>
            <w:r w:rsidRPr="004E34FD">
              <w:rPr>
                <w:b/>
                <w:szCs w:val="24"/>
                <w:lang w:val="en-IE"/>
              </w:rPr>
              <w:t xml:space="preserve">Individual </w:t>
            </w:r>
            <w:r>
              <w:rPr>
                <w:b/>
                <w:szCs w:val="24"/>
                <w:lang w:val="en-IE"/>
              </w:rPr>
              <w:t>Patient Details</w:t>
            </w:r>
          </w:p>
        </w:tc>
      </w:tr>
      <w:tr w:rsidR="00BC0114" w:rsidRPr="004E34FD" w:rsidDel="00DC6327" w14:paraId="171353A9" w14:textId="77777777" w:rsidTr="002D5FA9">
        <w:tc>
          <w:tcPr>
            <w:tcW w:w="283" w:type="pct"/>
            <w:vMerge w:val="restart"/>
            <w:vAlign w:val="center"/>
          </w:tcPr>
          <w:p w14:paraId="1AE668E4" w14:textId="77777777" w:rsidR="00BC0114" w:rsidRPr="004E34FD" w:rsidRDefault="00BC0114" w:rsidP="002D5FA9">
            <w:pPr>
              <w:spacing w:line="360" w:lineRule="auto"/>
              <w:jc w:val="both"/>
              <w:rPr>
                <w:b/>
                <w:bCs/>
                <w:szCs w:val="24"/>
                <w:lang w:val="en-IE"/>
              </w:rPr>
            </w:pPr>
          </w:p>
        </w:tc>
        <w:tc>
          <w:tcPr>
            <w:tcW w:w="2105" w:type="pct"/>
            <w:vAlign w:val="center"/>
          </w:tcPr>
          <w:p w14:paraId="1452AF60" w14:textId="77777777" w:rsidR="00BC0114" w:rsidRPr="003569D2" w:rsidRDefault="00BC0114" w:rsidP="002D5FA9">
            <w:pPr>
              <w:spacing w:before="0" w:after="0" w:line="360" w:lineRule="auto"/>
              <w:rPr>
                <w:rFonts w:eastAsia="Times New Roman"/>
                <w:i/>
                <w:lang w:val="en-GB" w:eastAsia="en-GB"/>
              </w:rPr>
            </w:pPr>
            <w:r w:rsidRPr="00876449">
              <w:rPr>
                <w:rFonts w:eastAsia="Times New Roman"/>
                <w:lang w:val="en-GB" w:eastAsia="en-GB"/>
              </w:rPr>
              <w:t>PACEC</w:t>
            </w:r>
            <w:r>
              <w:rPr>
                <w:rFonts w:eastAsia="Times New Roman"/>
                <w:lang w:val="en-GB" w:eastAsia="en-GB"/>
              </w:rPr>
              <w:t xml:space="preserve"> Patient / Client Reference (</w:t>
            </w:r>
            <w:r w:rsidRPr="003569D2">
              <w:rPr>
                <w:rFonts w:eastAsia="Times New Roman"/>
                <w:i/>
                <w:lang w:val="en-GB" w:eastAsia="en-GB"/>
              </w:rPr>
              <w:t>this should follow the format: Area; Navigator or Staff Initials; and Number)</w:t>
            </w:r>
            <w:r>
              <w:rPr>
                <w:rStyle w:val="FootnoteReference"/>
                <w:rFonts w:eastAsia="Times New Roman"/>
                <w:i/>
                <w:lang w:val="en-GB" w:eastAsia="en-GB"/>
              </w:rPr>
              <w:footnoteReference w:id="135"/>
            </w:r>
            <w:r>
              <w:t xml:space="preserve"> </w:t>
            </w:r>
          </w:p>
          <w:p w14:paraId="431EA05C" w14:textId="77777777" w:rsidR="00BC0114" w:rsidRPr="003F0D96" w:rsidRDefault="00BC0114" w:rsidP="002D5FA9">
            <w:pPr>
              <w:spacing w:before="0" w:after="0" w:line="360" w:lineRule="auto"/>
              <w:rPr>
                <w:rFonts w:eastAsia="Times New Roman"/>
                <w:lang w:val="en-GB" w:eastAsia="en-GB"/>
              </w:rPr>
            </w:pPr>
            <w:r w:rsidRPr="003569D2">
              <w:rPr>
                <w:rFonts w:eastAsia="Times New Roman"/>
                <w:i/>
                <w:lang w:val="en-GB" w:eastAsia="en-GB"/>
              </w:rPr>
              <w:t>For example: BBJK1</w:t>
            </w:r>
            <w:r>
              <w:rPr>
                <w:rFonts w:eastAsia="Times New Roman"/>
                <w:lang w:val="en-GB" w:eastAsia="en-GB"/>
              </w:rPr>
              <w:t xml:space="preserve"> </w:t>
            </w:r>
            <w:r w:rsidRPr="003F0D96">
              <w:rPr>
                <w:rFonts w:eastAsia="Times New Roman"/>
                <w:b/>
                <w:color w:val="FF0000"/>
                <w:lang w:val="en-GB" w:eastAsia="en-GB"/>
              </w:rPr>
              <w:t>REQUIRED</w:t>
            </w:r>
          </w:p>
        </w:tc>
        <w:tc>
          <w:tcPr>
            <w:tcW w:w="2612" w:type="pct"/>
            <w:gridSpan w:val="2"/>
            <w:vAlign w:val="center"/>
          </w:tcPr>
          <w:p w14:paraId="08FAC2E4" w14:textId="77777777" w:rsidR="00BC0114" w:rsidRPr="001B6155" w:rsidRDefault="00BC0114"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4E34FD" w:rsidDel="00DC6327" w14:paraId="25729FA7" w14:textId="77777777" w:rsidTr="002D5FA9">
        <w:tc>
          <w:tcPr>
            <w:tcW w:w="283" w:type="pct"/>
            <w:vMerge/>
            <w:vAlign w:val="center"/>
          </w:tcPr>
          <w:p w14:paraId="5B7D4206" w14:textId="77777777" w:rsidR="00BC0114" w:rsidRPr="004E34FD" w:rsidRDefault="00BC0114" w:rsidP="002D5FA9">
            <w:pPr>
              <w:spacing w:line="360" w:lineRule="auto"/>
              <w:jc w:val="both"/>
              <w:rPr>
                <w:b/>
                <w:bCs/>
                <w:szCs w:val="24"/>
                <w:lang w:val="en-IE"/>
              </w:rPr>
            </w:pPr>
          </w:p>
        </w:tc>
        <w:tc>
          <w:tcPr>
            <w:tcW w:w="2105" w:type="pct"/>
            <w:vAlign w:val="center"/>
          </w:tcPr>
          <w:p w14:paraId="6F5AD2E4" w14:textId="77777777" w:rsidR="00BC0114" w:rsidRPr="00876449" w:rsidRDefault="00BC0114" w:rsidP="002D5FA9">
            <w:pPr>
              <w:spacing w:before="0" w:after="0" w:line="360" w:lineRule="auto"/>
              <w:rPr>
                <w:rFonts w:eastAsia="Times New Roman"/>
                <w:lang w:val="en-GB" w:eastAsia="en-GB"/>
              </w:rPr>
            </w:pPr>
            <w:r>
              <w:rPr>
                <w:rFonts w:eastAsia="Times New Roman"/>
                <w:lang w:val="en-GB" w:eastAsia="en-GB"/>
              </w:rPr>
              <w:t>Name</w:t>
            </w:r>
          </w:p>
        </w:tc>
        <w:tc>
          <w:tcPr>
            <w:tcW w:w="2612" w:type="pct"/>
            <w:gridSpan w:val="2"/>
            <w:vAlign w:val="center"/>
          </w:tcPr>
          <w:p w14:paraId="0A59788E" w14:textId="77777777" w:rsidR="00BC0114" w:rsidRPr="001B6155" w:rsidRDefault="00BC0114"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4E34FD" w14:paraId="0F9724C1" w14:textId="77777777" w:rsidTr="002D5FA9">
        <w:tc>
          <w:tcPr>
            <w:tcW w:w="283" w:type="pct"/>
            <w:vMerge/>
            <w:vAlign w:val="center"/>
          </w:tcPr>
          <w:p w14:paraId="396388C2" w14:textId="77777777" w:rsidR="00BC0114" w:rsidRPr="004E34FD" w:rsidRDefault="00BC0114" w:rsidP="002D5FA9">
            <w:pPr>
              <w:spacing w:line="360" w:lineRule="auto"/>
              <w:jc w:val="both"/>
              <w:rPr>
                <w:b/>
                <w:bCs/>
                <w:szCs w:val="24"/>
                <w:lang w:val="en-IE"/>
              </w:rPr>
            </w:pPr>
          </w:p>
        </w:tc>
        <w:tc>
          <w:tcPr>
            <w:tcW w:w="2105" w:type="pct"/>
            <w:vAlign w:val="center"/>
          </w:tcPr>
          <w:p w14:paraId="3A825212" w14:textId="77777777" w:rsidR="00BC0114" w:rsidRPr="00097707" w:rsidRDefault="00BC0114" w:rsidP="002D5FA9">
            <w:pPr>
              <w:spacing w:before="0" w:after="0" w:line="360" w:lineRule="auto"/>
              <w:rPr>
                <w:rFonts w:eastAsia="Times New Roman"/>
                <w:lang w:val="en-GB" w:eastAsia="en-GB"/>
              </w:rPr>
            </w:pPr>
            <w:r>
              <w:rPr>
                <w:rFonts w:eastAsia="Times New Roman"/>
                <w:lang w:val="en-GB" w:eastAsia="en-GB"/>
              </w:rPr>
              <w:t xml:space="preserve">Date started on the Social Prescribing Service </w:t>
            </w:r>
          </w:p>
        </w:tc>
        <w:tc>
          <w:tcPr>
            <w:tcW w:w="2612" w:type="pct"/>
            <w:gridSpan w:val="2"/>
            <w:vAlign w:val="center"/>
          </w:tcPr>
          <w:p w14:paraId="34933CFA" w14:textId="77777777" w:rsidR="00BC0114" w:rsidRPr="001B6155" w:rsidRDefault="00BC0114"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4E34FD" w14:paraId="34B58F86" w14:textId="77777777" w:rsidTr="002D5FA9">
        <w:tc>
          <w:tcPr>
            <w:tcW w:w="283" w:type="pct"/>
            <w:vMerge/>
            <w:vAlign w:val="center"/>
          </w:tcPr>
          <w:p w14:paraId="3469C31A" w14:textId="77777777" w:rsidR="00BC0114" w:rsidRPr="004E34FD" w:rsidRDefault="00BC0114" w:rsidP="002D5FA9">
            <w:pPr>
              <w:spacing w:line="360" w:lineRule="auto"/>
              <w:jc w:val="both"/>
              <w:rPr>
                <w:b/>
                <w:bCs/>
                <w:szCs w:val="24"/>
                <w:lang w:val="en-IE"/>
              </w:rPr>
            </w:pPr>
          </w:p>
        </w:tc>
        <w:tc>
          <w:tcPr>
            <w:tcW w:w="2105" w:type="pct"/>
            <w:vAlign w:val="center"/>
          </w:tcPr>
          <w:p w14:paraId="586E7EC1" w14:textId="77777777" w:rsidR="00BC0114" w:rsidRDefault="00BC0114" w:rsidP="002D5FA9">
            <w:pPr>
              <w:spacing w:before="0" w:after="0" w:line="360" w:lineRule="auto"/>
              <w:rPr>
                <w:rFonts w:eastAsia="Times New Roman"/>
                <w:lang w:val="en-GB" w:eastAsia="en-GB"/>
              </w:rPr>
            </w:pPr>
            <w:r>
              <w:rPr>
                <w:rFonts w:eastAsia="Times New Roman"/>
                <w:lang w:val="en-GB" w:eastAsia="en-GB"/>
              </w:rPr>
              <w:t xml:space="preserve">Referral Agent (e.g. GP / self-referral) </w:t>
            </w:r>
          </w:p>
        </w:tc>
        <w:tc>
          <w:tcPr>
            <w:tcW w:w="2612" w:type="pct"/>
            <w:gridSpan w:val="2"/>
            <w:vAlign w:val="center"/>
          </w:tcPr>
          <w:p w14:paraId="2201A8CD" w14:textId="77777777" w:rsidR="00BC0114" w:rsidRPr="001B6155" w:rsidRDefault="00BC0114"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4E34FD" w14:paraId="534AA1F7" w14:textId="77777777" w:rsidTr="002D5FA9">
        <w:trPr>
          <w:trHeight w:val="296"/>
        </w:trPr>
        <w:tc>
          <w:tcPr>
            <w:tcW w:w="283" w:type="pct"/>
            <w:shd w:val="clear" w:color="auto" w:fill="E0E0E0"/>
            <w:vAlign w:val="center"/>
          </w:tcPr>
          <w:p w14:paraId="344FD35C" w14:textId="77777777" w:rsidR="00BC0114" w:rsidRPr="004E34FD" w:rsidRDefault="00BC0114" w:rsidP="00BC0114">
            <w:pPr>
              <w:widowControl/>
              <w:numPr>
                <w:ilvl w:val="0"/>
                <w:numId w:val="38"/>
              </w:numPr>
              <w:tabs>
                <w:tab w:val="num" w:pos="682"/>
              </w:tabs>
              <w:spacing w:before="40" w:after="0" w:line="480" w:lineRule="auto"/>
              <w:jc w:val="both"/>
              <w:rPr>
                <w:b/>
              </w:rPr>
            </w:pPr>
          </w:p>
        </w:tc>
        <w:tc>
          <w:tcPr>
            <w:tcW w:w="4717" w:type="pct"/>
            <w:gridSpan w:val="3"/>
            <w:tcBorders>
              <w:bottom w:val="single" w:sz="4" w:space="0" w:color="auto"/>
            </w:tcBorders>
            <w:shd w:val="clear" w:color="auto" w:fill="E0E0E0"/>
            <w:vAlign w:val="center"/>
          </w:tcPr>
          <w:p w14:paraId="756C356E" w14:textId="77777777" w:rsidR="00BC0114" w:rsidRPr="004E34FD" w:rsidRDefault="00BC0114" w:rsidP="002D5FA9">
            <w:pPr>
              <w:spacing w:before="40" w:after="0" w:line="480" w:lineRule="auto"/>
              <w:jc w:val="both"/>
              <w:rPr>
                <w:b/>
                <w:szCs w:val="24"/>
                <w:lang w:val="en-IE"/>
              </w:rPr>
            </w:pPr>
            <w:r>
              <w:rPr>
                <w:b/>
                <w:szCs w:val="24"/>
                <w:lang w:val="en-IE"/>
              </w:rPr>
              <w:t>Please confirm which service you have been supported by:</w:t>
            </w:r>
            <w:r w:rsidRPr="004E34FD">
              <w:rPr>
                <w:b/>
                <w:szCs w:val="24"/>
                <w:lang w:val="en-IE"/>
              </w:rPr>
              <w:t xml:space="preserve"> </w:t>
            </w:r>
            <w:r w:rsidRPr="004E34FD">
              <w:rPr>
                <w:i/>
                <w:szCs w:val="24"/>
                <w:lang w:val="en-IE"/>
              </w:rPr>
              <w:t>Tick one</w:t>
            </w:r>
          </w:p>
        </w:tc>
      </w:tr>
      <w:tr w:rsidR="00BC0114" w:rsidRPr="004E34FD" w:rsidDel="00DC6327" w14:paraId="76A900DB" w14:textId="77777777" w:rsidTr="002D5FA9">
        <w:tc>
          <w:tcPr>
            <w:tcW w:w="283" w:type="pct"/>
            <w:vMerge w:val="restart"/>
            <w:vAlign w:val="center"/>
          </w:tcPr>
          <w:p w14:paraId="713454DF"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7FA8EE89"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Basildon and Brentwood (Social Prescriber in GP Hub)</w:t>
            </w:r>
          </w:p>
        </w:tc>
        <w:tc>
          <w:tcPr>
            <w:tcW w:w="731" w:type="pct"/>
            <w:tcBorders>
              <w:left w:val="single" w:sz="4" w:space="0" w:color="auto"/>
            </w:tcBorders>
            <w:vAlign w:val="center"/>
          </w:tcPr>
          <w:p w14:paraId="0ED403F8" w14:textId="77777777" w:rsidR="00BC0114" w:rsidRPr="004E34FD" w:rsidDel="00DC6327"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rsidDel="00DC6327" w14:paraId="21818431" w14:textId="77777777" w:rsidTr="002D5FA9">
        <w:tc>
          <w:tcPr>
            <w:tcW w:w="283" w:type="pct"/>
            <w:vMerge/>
            <w:vAlign w:val="center"/>
          </w:tcPr>
          <w:p w14:paraId="4C92C180"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351633BA"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Castle Point and Rochford (Social Prescriber in GP Hub)</w:t>
            </w:r>
          </w:p>
        </w:tc>
        <w:tc>
          <w:tcPr>
            <w:tcW w:w="731" w:type="pct"/>
            <w:tcBorders>
              <w:left w:val="single" w:sz="4" w:space="0" w:color="auto"/>
            </w:tcBorders>
          </w:tcPr>
          <w:p w14:paraId="2FCB3373" w14:textId="77777777" w:rsidR="00BC0114" w:rsidRPr="004E34FD"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631686DC" w14:textId="77777777" w:rsidTr="002D5FA9">
        <w:tc>
          <w:tcPr>
            <w:tcW w:w="283" w:type="pct"/>
            <w:vMerge/>
            <w:vAlign w:val="center"/>
          </w:tcPr>
          <w:p w14:paraId="00B9153C"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57705292"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North East Essex - Colchester (My Social Prescription - Social Prescription in CVS)</w:t>
            </w:r>
          </w:p>
        </w:tc>
        <w:tc>
          <w:tcPr>
            <w:tcW w:w="731" w:type="pct"/>
            <w:tcBorders>
              <w:left w:val="single" w:sz="4" w:space="0" w:color="auto"/>
            </w:tcBorders>
          </w:tcPr>
          <w:p w14:paraId="0B1C9897" w14:textId="77777777" w:rsidR="00BC0114" w:rsidRPr="004E34FD"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6175A927" w14:textId="77777777" w:rsidTr="002D5FA9">
        <w:tc>
          <w:tcPr>
            <w:tcW w:w="283" w:type="pct"/>
            <w:vMerge/>
            <w:vAlign w:val="center"/>
          </w:tcPr>
          <w:p w14:paraId="724093FD"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327A4A98"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 xml:space="preserve">North East </w:t>
            </w:r>
            <w:r>
              <w:rPr>
                <w:rFonts w:eastAsia="Times New Roman"/>
                <w:lang w:val="en-GB" w:eastAsia="en-GB"/>
              </w:rPr>
              <w:t xml:space="preserve">Essex - </w:t>
            </w:r>
            <w:r w:rsidRPr="00876449">
              <w:rPr>
                <w:rFonts w:eastAsia="Times New Roman"/>
                <w:lang w:val="en-GB" w:eastAsia="en-GB"/>
              </w:rPr>
              <w:t>Tendring</w:t>
            </w:r>
            <w:r>
              <w:rPr>
                <w:rFonts w:eastAsia="Times New Roman"/>
                <w:lang w:val="en-GB" w:eastAsia="en-GB"/>
              </w:rPr>
              <w:t xml:space="preserve"> </w:t>
            </w:r>
            <w:r w:rsidRPr="00097707">
              <w:rPr>
                <w:rFonts w:eastAsia="Times New Roman"/>
                <w:lang w:val="en-GB" w:eastAsia="en-GB"/>
              </w:rPr>
              <w:t>(Mental Health Hub)</w:t>
            </w:r>
          </w:p>
        </w:tc>
        <w:tc>
          <w:tcPr>
            <w:tcW w:w="731" w:type="pct"/>
            <w:tcBorders>
              <w:left w:val="single" w:sz="4" w:space="0" w:color="auto"/>
            </w:tcBorders>
            <w:vAlign w:val="center"/>
          </w:tcPr>
          <w:p w14:paraId="188C8276" w14:textId="77777777" w:rsidR="00BC0114" w:rsidRPr="004E34FD" w:rsidDel="00DC6327"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67B036A3" w14:textId="77777777" w:rsidTr="002D5FA9">
        <w:tc>
          <w:tcPr>
            <w:tcW w:w="283" w:type="pct"/>
            <w:vMerge/>
            <w:vAlign w:val="center"/>
          </w:tcPr>
          <w:p w14:paraId="79E73786"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364A0146"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Mid Essex (Community Builders / Social Prescribing Champions and intensive support by PROVIDE)</w:t>
            </w:r>
          </w:p>
        </w:tc>
        <w:tc>
          <w:tcPr>
            <w:tcW w:w="731" w:type="pct"/>
            <w:tcBorders>
              <w:left w:val="single" w:sz="4" w:space="0" w:color="auto"/>
            </w:tcBorders>
          </w:tcPr>
          <w:p w14:paraId="501F9BFE" w14:textId="77777777" w:rsidR="00BC0114" w:rsidRPr="004E34FD"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3D91D732" w14:textId="77777777" w:rsidTr="002D5FA9">
        <w:tc>
          <w:tcPr>
            <w:tcW w:w="283" w:type="pct"/>
            <w:vMerge/>
            <w:vAlign w:val="center"/>
          </w:tcPr>
          <w:p w14:paraId="6E2D0379" w14:textId="77777777" w:rsidR="00BC0114" w:rsidRPr="004E34FD" w:rsidRDefault="00BC0114"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4FEB2740" w14:textId="77777777" w:rsidR="00BC0114" w:rsidRPr="00097707" w:rsidRDefault="00BC0114" w:rsidP="002D5FA9">
            <w:pPr>
              <w:spacing w:before="0" w:after="0" w:line="360" w:lineRule="auto"/>
              <w:rPr>
                <w:rFonts w:eastAsia="Times New Roman"/>
                <w:lang w:val="en-GB" w:eastAsia="en-GB"/>
              </w:rPr>
            </w:pPr>
            <w:r w:rsidRPr="00097707">
              <w:rPr>
                <w:rFonts w:eastAsia="Times New Roman"/>
                <w:lang w:val="en-GB" w:eastAsia="en-GB"/>
              </w:rPr>
              <w:t>West Essex (Social Prescriber in GP Hub - Personal Independence Planners)</w:t>
            </w:r>
          </w:p>
        </w:tc>
        <w:tc>
          <w:tcPr>
            <w:tcW w:w="731" w:type="pct"/>
            <w:tcBorders>
              <w:left w:val="single" w:sz="4" w:space="0" w:color="auto"/>
            </w:tcBorders>
          </w:tcPr>
          <w:p w14:paraId="0B4DAA7B" w14:textId="77777777" w:rsidR="00BC0114" w:rsidRPr="004E34FD" w:rsidRDefault="00BC0114"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bl>
    <w:p w14:paraId="1EF980F1" w14:textId="77777777" w:rsidR="00BC0114" w:rsidRPr="004E34FD" w:rsidRDefault="00BC0114" w:rsidP="00BC0114">
      <w:pPr>
        <w:tabs>
          <w:tab w:val="left" w:pos="645"/>
          <w:tab w:val="left" w:pos="8217"/>
        </w:tabs>
        <w:spacing w:before="120" w:after="0" w:line="480" w:lineRule="auto"/>
        <w:ind w:left="108"/>
        <w:rPr>
          <w:b/>
          <w:szCs w:val="24"/>
          <w:lang w:val="en-IE"/>
        </w:rPr>
      </w:pPr>
      <w:r w:rsidRPr="004E34FD">
        <w:rPr>
          <w:b/>
          <w:bCs/>
          <w:szCs w:val="24"/>
          <w:lang w:val="en-IE"/>
        </w:rPr>
        <w:tab/>
      </w:r>
      <w:r w:rsidRPr="00097707">
        <w:rPr>
          <w:rFonts w:eastAsia="Times New Roman"/>
          <w:lang w:val="en-GB" w:eastAsia="en-GB"/>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BC0114" w:rsidRPr="004E34FD" w14:paraId="0E2A8856" w14:textId="77777777" w:rsidTr="002771E9">
        <w:trPr>
          <w:trHeight w:val="296"/>
          <w:tblHeader/>
        </w:trPr>
        <w:tc>
          <w:tcPr>
            <w:tcW w:w="283" w:type="pct"/>
            <w:shd w:val="clear" w:color="auto" w:fill="E0E0E0"/>
            <w:vAlign w:val="center"/>
          </w:tcPr>
          <w:p w14:paraId="64D466FB" w14:textId="77777777" w:rsidR="00BC0114" w:rsidRPr="004E34FD" w:rsidRDefault="00BC0114" w:rsidP="00BC0114">
            <w:pPr>
              <w:widowControl/>
              <w:numPr>
                <w:ilvl w:val="0"/>
                <w:numId w:val="38"/>
              </w:numPr>
              <w:tabs>
                <w:tab w:val="num" w:pos="682"/>
              </w:tabs>
              <w:spacing w:before="40" w:after="40" w:line="276" w:lineRule="auto"/>
              <w:jc w:val="both"/>
              <w:rPr>
                <w:b/>
              </w:rPr>
            </w:pPr>
          </w:p>
        </w:tc>
        <w:tc>
          <w:tcPr>
            <w:tcW w:w="4717" w:type="pct"/>
            <w:gridSpan w:val="2"/>
            <w:tcBorders>
              <w:bottom w:val="single" w:sz="4" w:space="0" w:color="auto"/>
            </w:tcBorders>
            <w:shd w:val="clear" w:color="auto" w:fill="E0E0E0"/>
            <w:vAlign w:val="center"/>
          </w:tcPr>
          <w:p w14:paraId="437F8553" w14:textId="77777777" w:rsidR="00BC0114" w:rsidRPr="004E34FD" w:rsidRDefault="00BC0114" w:rsidP="002D5FA9">
            <w:pPr>
              <w:spacing w:before="40" w:after="40" w:line="276" w:lineRule="auto"/>
              <w:jc w:val="both"/>
              <w:rPr>
                <w:b/>
                <w:szCs w:val="24"/>
                <w:lang w:val="en-IE"/>
              </w:rPr>
            </w:pPr>
            <w:r w:rsidRPr="00EA6C84">
              <w:rPr>
                <w:b/>
              </w:rPr>
              <w:t>Which ethnic group do you belong to?</w:t>
            </w:r>
            <w:r>
              <w:t xml:space="preserve"> </w:t>
            </w:r>
            <w:r w:rsidRPr="001B6155">
              <w:rPr>
                <w:i/>
                <w:szCs w:val="24"/>
                <w:lang w:val="en-IE"/>
              </w:rPr>
              <w:t>Choose one ethnic group that best describes your ethnic group or background</w:t>
            </w:r>
          </w:p>
        </w:tc>
      </w:tr>
      <w:tr w:rsidR="00BC0114" w:rsidRPr="004E34FD" w:rsidDel="00DC6327" w14:paraId="5838B012" w14:textId="77777777" w:rsidTr="002D5FA9">
        <w:tc>
          <w:tcPr>
            <w:tcW w:w="283" w:type="pct"/>
            <w:vMerge w:val="restart"/>
            <w:vAlign w:val="center"/>
          </w:tcPr>
          <w:p w14:paraId="10BD1427" w14:textId="77777777" w:rsidR="00BC0114" w:rsidRPr="004E34FD" w:rsidRDefault="00BC0114"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40BAC587" w14:textId="77777777" w:rsidR="00BC0114" w:rsidRPr="004E34FD" w:rsidDel="00DC6327" w:rsidRDefault="00BC0114" w:rsidP="002D5FA9">
            <w:pPr>
              <w:spacing w:before="120" w:after="120" w:line="276" w:lineRule="auto"/>
              <w:rPr>
                <w:b/>
                <w:szCs w:val="24"/>
                <w:lang w:val="en-IE"/>
              </w:rPr>
            </w:pPr>
            <w:r w:rsidRPr="001B6155">
              <w:t>White</w:t>
            </w:r>
            <w:r>
              <w:t>:</w:t>
            </w:r>
          </w:p>
        </w:tc>
      </w:tr>
      <w:tr w:rsidR="00BC0114" w:rsidRPr="004E34FD" w:rsidDel="00DC6327" w14:paraId="54041463" w14:textId="77777777" w:rsidTr="002D5FA9">
        <w:tc>
          <w:tcPr>
            <w:tcW w:w="283" w:type="pct"/>
            <w:vMerge/>
            <w:vAlign w:val="center"/>
          </w:tcPr>
          <w:p w14:paraId="11C78F30"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2FCCE673"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English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Welsh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Scottish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Northern Irish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British</w:t>
            </w:r>
          </w:p>
        </w:tc>
        <w:tc>
          <w:tcPr>
            <w:tcW w:w="731" w:type="pct"/>
            <w:tcBorders>
              <w:left w:val="single" w:sz="4" w:space="0" w:color="auto"/>
            </w:tcBorders>
          </w:tcPr>
          <w:p w14:paraId="62B1A497" w14:textId="77777777" w:rsidR="00BC0114" w:rsidRDefault="00BC0114"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BC0114" w:rsidRPr="004E34FD" w14:paraId="308DDC10" w14:textId="77777777" w:rsidTr="002D5FA9">
        <w:tc>
          <w:tcPr>
            <w:tcW w:w="283" w:type="pct"/>
            <w:vMerge/>
            <w:vAlign w:val="center"/>
          </w:tcPr>
          <w:p w14:paraId="3B8F0A82"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7992F052" w14:textId="77777777" w:rsidR="00BC0114" w:rsidRPr="001B6155" w:rsidRDefault="00BC0114" w:rsidP="002D5FA9">
            <w:pPr>
              <w:spacing w:before="0" w:after="0" w:line="276" w:lineRule="auto"/>
              <w:ind w:left="360" w:hanging="360"/>
              <w:rPr>
                <w:rFonts w:eastAsia="Times New Roman"/>
                <w:lang w:val="en-GB" w:eastAsia="en-GB"/>
              </w:rPr>
            </w:pPr>
            <w:r w:rsidRPr="001B6155">
              <w:rPr>
                <w:rFonts w:eastAsia="Times New Roman"/>
                <w:lang w:val="en-GB" w:eastAsia="en-GB"/>
              </w:rPr>
              <w:t>Irish</w:t>
            </w:r>
          </w:p>
        </w:tc>
        <w:tc>
          <w:tcPr>
            <w:tcW w:w="731" w:type="pct"/>
            <w:tcBorders>
              <w:left w:val="single" w:sz="4" w:space="0" w:color="auto"/>
            </w:tcBorders>
          </w:tcPr>
          <w:p w14:paraId="151A647D" w14:textId="77777777" w:rsidR="00BC0114" w:rsidRDefault="00BC0114"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BC0114" w:rsidRPr="004E34FD" w14:paraId="16746B02" w14:textId="77777777" w:rsidTr="002D5FA9">
        <w:tc>
          <w:tcPr>
            <w:tcW w:w="283" w:type="pct"/>
            <w:vMerge/>
            <w:vAlign w:val="center"/>
          </w:tcPr>
          <w:p w14:paraId="4D4024AF"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30CC235E" w14:textId="77777777" w:rsidR="00BC0114" w:rsidRPr="001B6155" w:rsidRDefault="00BC0114" w:rsidP="002D5FA9">
            <w:pPr>
              <w:spacing w:before="0" w:after="0" w:line="276" w:lineRule="auto"/>
              <w:ind w:left="360" w:hanging="360"/>
              <w:rPr>
                <w:rFonts w:eastAsia="Times New Roman"/>
                <w:lang w:val="en-GB" w:eastAsia="en-GB"/>
              </w:rPr>
            </w:pPr>
            <w:r w:rsidRPr="001B6155">
              <w:rPr>
                <w:rFonts w:eastAsia="Times New Roman"/>
                <w:lang w:val="en-GB" w:eastAsia="en-GB"/>
              </w:rPr>
              <w:t>Gypsy or Irish Traveller</w:t>
            </w:r>
          </w:p>
        </w:tc>
        <w:tc>
          <w:tcPr>
            <w:tcW w:w="731" w:type="pct"/>
            <w:tcBorders>
              <w:left w:val="single" w:sz="4" w:space="0" w:color="auto"/>
            </w:tcBorders>
          </w:tcPr>
          <w:p w14:paraId="2275A62A" w14:textId="77777777" w:rsidR="00BC0114" w:rsidRDefault="00BC0114"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BC0114" w:rsidRPr="004E34FD" w14:paraId="4B7A7942" w14:textId="77777777" w:rsidTr="002D5FA9">
        <w:tc>
          <w:tcPr>
            <w:tcW w:w="283" w:type="pct"/>
            <w:vMerge/>
            <w:vAlign w:val="center"/>
          </w:tcPr>
          <w:p w14:paraId="0B39E5BA"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472EB450" w14:textId="77777777" w:rsidR="00BC0114" w:rsidRPr="001B6155" w:rsidRDefault="00BC0114" w:rsidP="002D5FA9">
            <w:pPr>
              <w:spacing w:before="0" w:after="0" w:line="276" w:lineRule="auto"/>
              <w:ind w:left="360" w:hanging="360"/>
              <w:rPr>
                <w:rFonts w:eastAsia="Times New Roman"/>
                <w:lang w:val="en-GB" w:eastAsia="en-GB"/>
              </w:rPr>
            </w:pPr>
            <w:r w:rsidRPr="001B6155">
              <w:rPr>
                <w:rFonts w:eastAsia="Times New Roman"/>
                <w:lang w:val="en-GB" w:eastAsia="en-GB"/>
              </w:rPr>
              <w:t>Other White</w:t>
            </w:r>
          </w:p>
        </w:tc>
        <w:tc>
          <w:tcPr>
            <w:tcW w:w="731" w:type="pct"/>
            <w:tcBorders>
              <w:left w:val="single" w:sz="4" w:space="0" w:color="auto"/>
            </w:tcBorders>
          </w:tcPr>
          <w:p w14:paraId="65C82D30" w14:textId="77777777" w:rsidR="00BC0114" w:rsidRDefault="00BC0114"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BC0114" w:rsidRPr="004E34FD" w14:paraId="03E561C4" w14:textId="77777777" w:rsidTr="002D5FA9">
        <w:tc>
          <w:tcPr>
            <w:tcW w:w="283" w:type="pct"/>
            <w:vMerge/>
            <w:vAlign w:val="center"/>
          </w:tcPr>
          <w:p w14:paraId="348AA541" w14:textId="77777777" w:rsidR="00BC0114" w:rsidRPr="004E34FD" w:rsidRDefault="00BC0114"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45F28501" w14:textId="77777777" w:rsidR="00BC0114" w:rsidRPr="004E34FD" w:rsidRDefault="00BC0114" w:rsidP="002D5FA9">
            <w:pPr>
              <w:spacing w:before="120" w:after="120" w:line="276" w:lineRule="auto"/>
              <w:rPr>
                <w:b/>
                <w:szCs w:val="24"/>
                <w:lang w:val="en-IE"/>
              </w:rPr>
            </w:pPr>
            <w:r w:rsidRPr="001B6155">
              <w:t>Mixed/multiple ethnic group:</w:t>
            </w:r>
          </w:p>
        </w:tc>
      </w:tr>
      <w:tr w:rsidR="00BC0114" w:rsidRPr="004E34FD" w14:paraId="6B9172C6" w14:textId="77777777" w:rsidTr="002D5FA9">
        <w:tc>
          <w:tcPr>
            <w:tcW w:w="283" w:type="pct"/>
            <w:vMerge/>
            <w:vAlign w:val="center"/>
          </w:tcPr>
          <w:p w14:paraId="11E44CFC"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7E6A1C89"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White and Black Caribbean</w:t>
            </w:r>
          </w:p>
        </w:tc>
        <w:tc>
          <w:tcPr>
            <w:tcW w:w="731" w:type="pct"/>
            <w:tcBorders>
              <w:left w:val="single" w:sz="4" w:space="0" w:color="auto"/>
            </w:tcBorders>
          </w:tcPr>
          <w:p w14:paraId="47D5AE6D" w14:textId="77777777" w:rsidR="00BC0114" w:rsidRDefault="00BC0114"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BC0114" w:rsidRPr="004E34FD" w14:paraId="73ADEED0" w14:textId="77777777" w:rsidTr="002D5FA9">
        <w:tc>
          <w:tcPr>
            <w:tcW w:w="283" w:type="pct"/>
            <w:vMerge/>
            <w:vAlign w:val="center"/>
          </w:tcPr>
          <w:p w14:paraId="45ECF457"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2E66825A"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White and Black African</w:t>
            </w:r>
          </w:p>
        </w:tc>
        <w:tc>
          <w:tcPr>
            <w:tcW w:w="731" w:type="pct"/>
            <w:tcBorders>
              <w:left w:val="single" w:sz="4" w:space="0" w:color="auto"/>
            </w:tcBorders>
          </w:tcPr>
          <w:p w14:paraId="2DA37AE2" w14:textId="77777777" w:rsidR="00BC0114" w:rsidRDefault="00BC0114"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BC0114" w:rsidRPr="004E34FD" w14:paraId="069CB7C0" w14:textId="77777777" w:rsidTr="002D5FA9">
        <w:tc>
          <w:tcPr>
            <w:tcW w:w="283" w:type="pct"/>
            <w:vMerge/>
            <w:vAlign w:val="center"/>
          </w:tcPr>
          <w:p w14:paraId="72AFA309"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570E8BAD"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White and Asian</w:t>
            </w:r>
          </w:p>
        </w:tc>
        <w:tc>
          <w:tcPr>
            <w:tcW w:w="731" w:type="pct"/>
            <w:tcBorders>
              <w:left w:val="single" w:sz="4" w:space="0" w:color="auto"/>
            </w:tcBorders>
          </w:tcPr>
          <w:p w14:paraId="64114BFB" w14:textId="77777777" w:rsidR="00BC0114" w:rsidRDefault="00BC0114"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BC0114" w:rsidRPr="004E34FD" w14:paraId="7FB4AD14" w14:textId="77777777" w:rsidTr="002D5FA9">
        <w:tc>
          <w:tcPr>
            <w:tcW w:w="283" w:type="pct"/>
            <w:vMerge/>
            <w:vAlign w:val="center"/>
          </w:tcPr>
          <w:p w14:paraId="4541F2E1"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0E0F6913"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Other Mixed</w:t>
            </w:r>
          </w:p>
        </w:tc>
        <w:tc>
          <w:tcPr>
            <w:tcW w:w="731" w:type="pct"/>
            <w:tcBorders>
              <w:left w:val="single" w:sz="4" w:space="0" w:color="auto"/>
            </w:tcBorders>
          </w:tcPr>
          <w:p w14:paraId="003EAE63" w14:textId="77777777" w:rsidR="00BC0114" w:rsidRDefault="00BC0114"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BC0114" w:rsidRPr="004E34FD" w14:paraId="7A8A462B" w14:textId="77777777" w:rsidTr="002D5FA9">
        <w:tc>
          <w:tcPr>
            <w:tcW w:w="283" w:type="pct"/>
            <w:vMerge/>
            <w:vAlign w:val="center"/>
          </w:tcPr>
          <w:p w14:paraId="5160E368" w14:textId="77777777" w:rsidR="00BC0114" w:rsidRPr="004E34FD" w:rsidRDefault="00BC0114"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0D0100D9" w14:textId="77777777" w:rsidR="00BC0114" w:rsidRPr="004E34FD" w:rsidRDefault="00BC0114" w:rsidP="002D5FA9">
            <w:pPr>
              <w:spacing w:before="120" w:after="120" w:line="276" w:lineRule="auto"/>
              <w:rPr>
                <w:b/>
                <w:szCs w:val="24"/>
                <w:lang w:val="en-IE"/>
              </w:rPr>
            </w:pPr>
            <w:r w:rsidRPr="001B6155">
              <w:t>Asian/Asian British:</w:t>
            </w:r>
          </w:p>
        </w:tc>
      </w:tr>
      <w:tr w:rsidR="00BC0114" w:rsidRPr="004E34FD" w14:paraId="19B61D5A" w14:textId="77777777" w:rsidTr="002D5FA9">
        <w:tc>
          <w:tcPr>
            <w:tcW w:w="283" w:type="pct"/>
            <w:vMerge/>
            <w:vAlign w:val="center"/>
          </w:tcPr>
          <w:p w14:paraId="25B2C873"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56C09BBF"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Indian</w:t>
            </w:r>
          </w:p>
        </w:tc>
        <w:tc>
          <w:tcPr>
            <w:tcW w:w="731" w:type="pct"/>
            <w:tcBorders>
              <w:left w:val="single" w:sz="4" w:space="0" w:color="auto"/>
            </w:tcBorders>
          </w:tcPr>
          <w:p w14:paraId="3623E287" w14:textId="77777777" w:rsidR="00BC0114" w:rsidRDefault="00BC0114"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BC0114" w:rsidRPr="004E34FD" w14:paraId="592B86BB" w14:textId="77777777" w:rsidTr="002D5FA9">
        <w:tc>
          <w:tcPr>
            <w:tcW w:w="283" w:type="pct"/>
            <w:vMerge/>
            <w:vAlign w:val="center"/>
          </w:tcPr>
          <w:p w14:paraId="7A90C408"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1EBD6BE8"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Pakistani</w:t>
            </w:r>
          </w:p>
        </w:tc>
        <w:tc>
          <w:tcPr>
            <w:tcW w:w="731" w:type="pct"/>
            <w:tcBorders>
              <w:left w:val="single" w:sz="4" w:space="0" w:color="auto"/>
            </w:tcBorders>
          </w:tcPr>
          <w:p w14:paraId="63E166A4" w14:textId="77777777" w:rsidR="00BC0114" w:rsidRDefault="00BC0114"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BC0114" w:rsidRPr="004E34FD" w14:paraId="7F3B26C5" w14:textId="77777777" w:rsidTr="002D5FA9">
        <w:tc>
          <w:tcPr>
            <w:tcW w:w="283" w:type="pct"/>
            <w:vMerge/>
            <w:vAlign w:val="center"/>
          </w:tcPr>
          <w:p w14:paraId="75DC9603"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2A73E861"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Bangladeshi</w:t>
            </w:r>
          </w:p>
        </w:tc>
        <w:tc>
          <w:tcPr>
            <w:tcW w:w="731" w:type="pct"/>
            <w:tcBorders>
              <w:left w:val="single" w:sz="4" w:space="0" w:color="auto"/>
            </w:tcBorders>
          </w:tcPr>
          <w:p w14:paraId="3BA68B4F" w14:textId="77777777" w:rsidR="00BC0114" w:rsidRDefault="00BC0114"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BC0114" w:rsidRPr="004E34FD" w14:paraId="5CCAA014" w14:textId="77777777" w:rsidTr="002D5FA9">
        <w:tc>
          <w:tcPr>
            <w:tcW w:w="283" w:type="pct"/>
            <w:vMerge/>
            <w:vAlign w:val="center"/>
          </w:tcPr>
          <w:p w14:paraId="1B4B41F0"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312D5D18"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Chinese</w:t>
            </w:r>
          </w:p>
        </w:tc>
        <w:tc>
          <w:tcPr>
            <w:tcW w:w="731" w:type="pct"/>
            <w:tcBorders>
              <w:left w:val="single" w:sz="4" w:space="0" w:color="auto"/>
            </w:tcBorders>
          </w:tcPr>
          <w:p w14:paraId="34593172" w14:textId="77777777" w:rsidR="00BC0114" w:rsidRDefault="00BC0114"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BC0114" w:rsidRPr="004E34FD" w14:paraId="77F9D405" w14:textId="77777777" w:rsidTr="002D5FA9">
        <w:tc>
          <w:tcPr>
            <w:tcW w:w="283" w:type="pct"/>
            <w:vMerge/>
            <w:vAlign w:val="center"/>
          </w:tcPr>
          <w:p w14:paraId="646C0BE9"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2011D206" w14:textId="77777777" w:rsidR="00BC0114" w:rsidRPr="001B6155" w:rsidRDefault="00BC0114" w:rsidP="002D5FA9">
            <w:pPr>
              <w:spacing w:before="0" w:after="0" w:line="276" w:lineRule="auto"/>
              <w:rPr>
                <w:rFonts w:eastAsia="Times New Roman"/>
                <w:lang w:val="en-GB" w:eastAsia="en-GB"/>
              </w:rPr>
            </w:pPr>
            <w:r w:rsidRPr="001B6155">
              <w:rPr>
                <w:rFonts w:eastAsia="Times New Roman"/>
                <w:lang w:val="en-GB" w:eastAsia="en-GB"/>
              </w:rPr>
              <w:t>Other Asian</w:t>
            </w:r>
          </w:p>
        </w:tc>
        <w:tc>
          <w:tcPr>
            <w:tcW w:w="731" w:type="pct"/>
            <w:tcBorders>
              <w:left w:val="single" w:sz="4" w:space="0" w:color="auto"/>
            </w:tcBorders>
          </w:tcPr>
          <w:p w14:paraId="66B2E4A1" w14:textId="77777777" w:rsidR="00BC0114" w:rsidRDefault="00BC0114"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BC0114" w:rsidRPr="004E34FD" w14:paraId="51297264" w14:textId="77777777" w:rsidTr="002D5FA9">
        <w:tc>
          <w:tcPr>
            <w:tcW w:w="283" w:type="pct"/>
            <w:vMerge/>
            <w:vAlign w:val="center"/>
          </w:tcPr>
          <w:p w14:paraId="4647B45C" w14:textId="77777777" w:rsidR="00BC0114" w:rsidRPr="004E34FD" w:rsidRDefault="00BC0114"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47DF00AB" w14:textId="77777777" w:rsidR="00BC0114" w:rsidRPr="004E34FD" w:rsidRDefault="00BC0114" w:rsidP="002D5FA9">
            <w:pPr>
              <w:spacing w:before="120" w:after="120" w:line="276" w:lineRule="auto"/>
              <w:rPr>
                <w:b/>
                <w:szCs w:val="24"/>
                <w:lang w:val="en-IE"/>
              </w:rPr>
            </w:pPr>
            <w:r w:rsidRPr="001B6155">
              <w:t>Black/African/Caribbean/Black British:</w:t>
            </w:r>
          </w:p>
        </w:tc>
      </w:tr>
      <w:tr w:rsidR="00BC0114" w:rsidRPr="004E34FD" w14:paraId="3F8DE257" w14:textId="77777777" w:rsidTr="002D5FA9">
        <w:tc>
          <w:tcPr>
            <w:tcW w:w="283" w:type="pct"/>
            <w:vMerge/>
            <w:vAlign w:val="center"/>
          </w:tcPr>
          <w:p w14:paraId="3E16511A"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79322610" w14:textId="77777777" w:rsidR="00BC0114" w:rsidRPr="00BA6782" w:rsidRDefault="00BC0114" w:rsidP="002D5FA9">
            <w:pPr>
              <w:spacing w:before="0" w:after="0" w:line="276" w:lineRule="auto"/>
            </w:pPr>
            <w:r w:rsidRPr="00BA6782">
              <w:t>African</w:t>
            </w:r>
          </w:p>
        </w:tc>
        <w:tc>
          <w:tcPr>
            <w:tcW w:w="731" w:type="pct"/>
            <w:tcBorders>
              <w:left w:val="single" w:sz="4" w:space="0" w:color="auto"/>
            </w:tcBorders>
          </w:tcPr>
          <w:p w14:paraId="13EB28EE" w14:textId="77777777" w:rsidR="00BC0114" w:rsidRDefault="00BC0114"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BC0114" w:rsidRPr="004E34FD" w14:paraId="128835ED" w14:textId="77777777" w:rsidTr="002D5FA9">
        <w:tc>
          <w:tcPr>
            <w:tcW w:w="283" w:type="pct"/>
            <w:vMerge/>
            <w:vAlign w:val="center"/>
          </w:tcPr>
          <w:p w14:paraId="41310011"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0FDC6B90" w14:textId="77777777" w:rsidR="00BC0114" w:rsidRPr="00BA6782" w:rsidRDefault="00BC0114" w:rsidP="002D5FA9">
            <w:pPr>
              <w:spacing w:before="0" w:after="0" w:line="276" w:lineRule="auto"/>
            </w:pPr>
            <w:r w:rsidRPr="00BA6782">
              <w:t>Caribbean</w:t>
            </w:r>
          </w:p>
        </w:tc>
        <w:tc>
          <w:tcPr>
            <w:tcW w:w="731" w:type="pct"/>
            <w:tcBorders>
              <w:left w:val="single" w:sz="4" w:space="0" w:color="auto"/>
            </w:tcBorders>
          </w:tcPr>
          <w:p w14:paraId="16172F8F" w14:textId="77777777" w:rsidR="00BC0114" w:rsidRDefault="00BC0114"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BC0114" w:rsidRPr="004E34FD" w14:paraId="0F4FCA12" w14:textId="77777777" w:rsidTr="002D5FA9">
        <w:tc>
          <w:tcPr>
            <w:tcW w:w="283" w:type="pct"/>
            <w:vMerge/>
            <w:vAlign w:val="center"/>
          </w:tcPr>
          <w:p w14:paraId="0E8988B0"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4D4D7545" w14:textId="77777777" w:rsidR="00BC0114" w:rsidRPr="00BA6782" w:rsidRDefault="00BC0114" w:rsidP="002D5FA9">
            <w:pPr>
              <w:spacing w:before="0" w:after="0" w:line="276" w:lineRule="auto"/>
              <w:ind w:left="360" w:hanging="360"/>
            </w:pPr>
            <w:r w:rsidRPr="00BA6782">
              <w:t>Other Black</w:t>
            </w:r>
          </w:p>
        </w:tc>
        <w:tc>
          <w:tcPr>
            <w:tcW w:w="731" w:type="pct"/>
            <w:tcBorders>
              <w:left w:val="single" w:sz="4" w:space="0" w:color="auto"/>
            </w:tcBorders>
          </w:tcPr>
          <w:p w14:paraId="2F98ADC9" w14:textId="77777777" w:rsidR="00BC0114" w:rsidRDefault="00BC0114"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BC0114" w:rsidRPr="004E34FD" w14:paraId="70039FCF" w14:textId="77777777" w:rsidTr="002D5FA9">
        <w:tc>
          <w:tcPr>
            <w:tcW w:w="283" w:type="pct"/>
            <w:vMerge/>
            <w:vAlign w:val="center"/>
          </w:tcPr>
          <w:p w14:paraId="0307C40C" w14:textId="77777777" w:rsidR="00BC0114" w:rsidRPr="004E34FD" w:rsidRDefault="00BC0114"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5BF8B9FA" w14:textId="77777777" w:rsidR="00BC0114" w:rsidRPr="004E34FD" w:rsidRDefault="00BC0114" w:rsidP="002D5FA9">
            <w:pPr>
              <w:spacing w:before="120" w:after="120" w:line="276" w:lineRule="auto"/>
              <w:rPr>
                <w:b/>
                <w:szCs w:val="24"/>
                <w:lang w:val="en-IE"/>
              </w:rPr>
            </w:pPr>
            <w:r w:rsidRPr="001B6155">
              <w:t>Other ethnic group:</w:t>
            </w:r>
          </w:p>
        </w:tc>
      </w:tr>
      <w:tr w:rsidR="00BC0114" w:rsidRPr="004E34FD" w14:paraId="39F20A7B" w14:textId="77777777" w:rsidTr="002D5FA9">
        <w:tc>
          <w:tcPr>
            <w:tcW w:w="283" w:type="pct"/>
            <w:vMerge/>
            <w:vAlign w:val="center"/>
          </w:tcPr>
          <w:p w14:paraId="5616BFEF"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41CE17DB" w14:textId="77777777" w:rsidR="00BC0114" w:rsidRPr="00DC0CDD" w:rsidRDefault="00BC0114" w:rsidP="002D5FA9">
            <w:pPr>
              <w:spacing w:before="0" w:after="0" w:line="276" w:lineRule="auto"/>
              <w:ind w:left="360" w:hanging="360"/>
            </w:pPr>
            <w:r w:rsidRPr="00DC0CDD">
              <w:t>Arab</w:t>
            </w:r>
          </w:p>
        </w:tc>
        <w:tc>
          <w:tcPr>
            <w:tcW w:w="731" w:type="pct"/>
            <w:tcBorders>
              <w:left w:val="single" w:sz="4" w:space="0" w:color="auto"/>
            </w:tcBorders>
          </w:tcPr>
          <w:p w14:paraId="1A75F2D8" w14:textId="77777777" w:rsidR="00BC0114" w:rsidRDefault="00BC0114" w:rsidP="002D5FA9">
            <w:pPr>
              <w:spacing w:line="276" w:lineRule="auto"/>
              <w:jc w:val="center"/>
            </w:pPr>
            <w:r w:rsidRPr="003070D1">
              <w:rPr>
                <w:b/>
                <w:szCs w:val="24"/>
                <w:lang w:val="en-IE"/>
              </w:rPr>
              <w:fldChar w:fldCharType="begin">
                <w:ffData>
                  <w:name w:val="Check1"/>
                  <w:enabled/>
                  <w:calcOnExit w:val="0"/>
                  <w:checkBox>
                    <w:sizeAuto/>
                    <w:default w:val="0"/>
                  </w:checkBox>
                </w:ffData>
              </w:fldChar>
            </w:r>
            <w:r w:rsidRPr="003070D1">
              <w:rPr>
                <w:b/>
                <w:szCs w:val="24"/>
                <w:lang w:val="en-IE"/>
              </w:rPr>
              <w:instrText xml:space="preserve"> FORMCHECKBOX </w:instrText>
            </w:r>
            <w:r w:rsidR="00160C04">
              <w:rPr>
                <w:b/>
                <w:szCs w:val="24"/>
                <w:lang w:val="en-IE"/>
              </w:rPr>
            </w:r>
            <w:r w:rsidR="00160C04">
              <w:rPr>
                <w:b/>
                <w:szCs w:val="24"/>
                <w:lang w:val="en-IE"/>
              </w:rPr>
              <w:fldChar w:fldCharType="separate"/>
            </w:r>
            <w:r w:rsidRPr="003070D1">
              <w:rPr>
                <w:b/>
                <w:szCs w:val="24"/>
                <w:lang w:val="en-IE"/>
              </w:rPr>
              <w:fldChar w:fldCharType="end"/>
            </w:r>
          </w:p>
        </w:tc>
      </w:tr>
      <w:tr w:rsidR="00BC0114" w:rsidRPr="004E34FD" w14:paraId="786492DA" w14:textId="77777777" w:rsidTr="002D5FA9">
        <w:tc>
          <w:tcPr>
            <w:tcW w:w="283" w:type="pct"/>
            <w:vMerge/>
            <w:vAlign w:val="center"/>
          </w:tcPr>
          <w:p w14:paraId="1588EB80"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vAlign w:val="center"/>
          </w:tcPr>
          <w:p w14:paraId="40BF46AC" w14:textId="77777777" w:rsidR="00BC0114" w:rsidRPr="00DC0CDD" w:rsidRDefault="00BC0114" w:rsidP="002D5FA9">
            <w:pPr>
              <w:spacing w:before="0" w:after="0" w:line="276" w:lineRule="auto"/>
              <w:ind w:left="360" w:hanging="360"/>
            </w:pPr>
            <w:r w:rsidRPr="00DC0CDD">
              <w:t>Any other ethnic group</w:t>
            </w:r>
          </w:p>
        </w:tc>
        <w:tc>
          <w:tcPr>
            <w:tcW w:w="731" w:type="pct"/>
            <w:tcBorders>
              <w:left w:val="single" w:sz="4" w:space="0" w:color="auto"/>
            </w:tcBorders>
          </w:tcPr>
          <w:p w14:paraId="0506FEAB" w14:textId="77777777" w:rsidR="00BC0114" w:rsidRDefault="00BC0114" w:rsidP="002D5FA9">
            <w:pPr>
              <w:spacing w:line="276" w:lineRule="auto"/>
              <w:jc w:val="center"/>
            </w:pPr>
            <w:r w:rsidRPr="003070D1">
              <w:rPr>
                <w:b/>
                <w:szCs w:val="24"/>
                <w:lang w:val="en-IE"/>
              </w:rPr>
              <w:fldChar w:fldCharType="begin">
                <w:ffData>
                  <w:name w:val="Check1"/>
                  <w:enabled/>
                  <w:calcOnExit w:val="0"/>
                  <w:checkBox>
                    <w:sizeAuto/>
                    <w:default w:val="0"/>
                  </w:checkBox>
                </w:ffData>
              </w:fldChar>
            </w:r>
            <w:r w:rsidRPr="003070D1">
              <w:rPr>
                <w:b/>
                <w:szCs w:val="24"/>
                <w:lang w:val="en-IE"/>
              </w:rPr>
              <w:instrText xml:space="preserve"> FORMCHECKBOX </w:instrText>
            </w:r>
            <w:r w:rsidR="00160C04">
              <w:rPr>
                <w:b/>
                <w:szCs w:val="24"/>
                <w:lang w:val="en-IE"/>
              </w:rPr>
            </w:r>
            <w:r w:rsidR="00160C04">
              <w:rPr>
                <w:b/>
                <w:szCs w:val="24"/>
                <w:lang w:val="en-IE"/>
              </w:rPr>
              <w:fldChar w:fldCharType="separate"/>
            </w:r>
            <w:r w:rsidRPr="003070D1">
              <w:rPr>
                <w:b/>
                <w:szCs w:val="24"/>
                <w:lang w:val="en-IE"/>
              </w:rPr>
              <w:fldChar w:fldCharType="end"/>
            </w:r>
          </w:p>
        </w:tc>
      </w:tr>
      <w:tr w:rsidR="00BC0114" w:rsidRPr="004E34FD" w14:paraId="67568C8C" w14:textId="77777777" w:rsidTr="002D5FA9">
        <w:tc>
          <w:tcPr>
            <w:tcW w:w="283" w:type="pct"/>
            <w:vMerge/>
            <w:vAlign w:val="center"/>
          </w:tcPr>
          <w:p w14:paraId="45629FE5" w14:textId="77777777" w:rsidR="00BC0114" w:rsidRPr="004E34FD" w:rsidRDefault="00BC0114" w:rsidP="002D5FA9">
            <w:pPr>
              <w:spacing w:before="40" w:after="40" w:line="276" w:lineRule="auto"/>
              <w:jc w:val="both"/>
              <w:rPr>
                <w:b/>
                <w:bCs/>
                <w:szCs w:val="24"/>
                <w:lang w:val="en-IE"/>
              </w:rPr>
            </w:pPr>
          </w:p>
        </w:tc>
        <w:tc>
          <w:tcPr>
            <w:tcW w:w="3986" w:type="pct"/>
            <w:tcBorders>
              <w:right w:val="single" w:sz="4" w:space="0" w:color="auto"/>
            </w:tcBorders>
            <w:shd w:val="clear" w:color="auto" w:fill="F2F2F2" w:themeFill="background1" w:themeFillShade="F2"/>
            <w:vAlign w:val="center"/>
          </w:tcPr>
          <w:p w14:paraId="739CE0D7" w14:textId="77777777" w:rsidR="00BC0114" w:rsidRPr="00591CC5" w:rsidRDefault="00BC0114" w:rsidP="002D5FA9">
            <w:pPr>
              <w:spacing w:before="0" w:after="0" w:line="276" w:lineRule="auto"/>
              <w:ind w:left="360" w:hanging="360"/>
              <w:rPr>
                <w:b/>
              </w:rPr>
            </w:pPr>
            <w:r w:rsidRPr="00591CC5">
              <w:rPr>
                <w:b/>
              </w:rPr>
              <w:t>Do not wish to disclose</w:t>
            </w:r>
          </w:p>
        </w:tc>
        <w:tc>
          <w:tcPr>
            <w:tcW w:w="731" w:type="pct"/>
            <w:tcBorders>
              <w:left w:val="single" w:sz="4" w:space="0" w:color="auto"/>
            </w:tcBorders>
            <w:shd w:val="clear" w:color="auto" w:fill="F2F2F2" w:themeFill="background1" w:themeFillShade="F2"/>
          </w:tcPr>
          <w:p w14:paraId="646A9156" w14:textId="77777777" w:rsidR="00BC0114" w:rsidRPr="00591CC5" w:rsidRDefault="00BC0114" w:rsidP="002D5FA9">
            <w:pPr>
              <w:spacing w:line="276" w:lineRule="auto"/>
              <w:jc w:val="center"/>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p>
        </w:tc>
      </w:tr>
    </w:tbl>
    <w:p w14:paraId="7E5ABDCF" w14:textId="77777777" w:rsidR="00BC0114" w:rsidRDefault="00BC0114"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295"/>
        <w:gridCol w:w="2665"/>
      </w:tblGrid>
      <w:tr w:rsidR="00BC0114" w:rsidRPr="004E34FD" w14:paraId="70B53A86" w14:textId="77777777" w:rsidTr="002D5FA9">
        <w:trPr>
          <w:trHeight w:val="296"/>
        </w:trPr>
        <w:tc>
          <w:tcPr>
            <w:tcW w:w="283" w:type="pct"/>
            <w:shd w:val="clear" w:color="auto" w:fill="E0E0E0"/>
            <w:vAlign w:val="center"/>
          </w:tcPr>
          <w:p w14:paraId="7A309E10" w14:textId="77777777" w:rsidR="00BC0114" w:rsidRPr="004E34FD" w:rsidRDefault="00BC0114" w:rsidP="00BC0114">
            <w:pPr>
              <w:widowControl/>
              <w:numPr>
                <w:ilvl w:val="0"/>
                <w:numId w:val="38"/>
              </w:numPr>
              <w:tabs>
                <w:tab w:val="num" w:pos="682"/>
              </w:tabs>
              <w:spacing w:before="40" w:after="40" w:line="480" w:lineRule="auto"/>
              <w:jc w:val="both"/>
              <w:rPr>
                <w:b/>
              </w:rPr>
            </w:pPr>
          </w:p>
        </w:tc>
        <w:tc>
          <w:tcPr>
            <w:tcW w:w="4717" w:type="pct"/>
            <w:gridSpan w:val="2"/>
            <w:tcBorders>
              <w:bottom w:val="single" w:sz="4" w:space="0" w:color="auto"/>
            </w:tcBorders>
            <w:shd w:val="clear" w:color="auto" w:fill="E0E0E0"/>
            <w:vAlign w:val="center"/>
          </w:tcPr>
          <w:p w14:paraId="362CD35C" w14:textId="77777777" w:rsidR="00BC0114" w:rsidRPr="004E34FD" w:rsidRDefault="00BC0114" w:rsidP="002D5FA9">
            <w:pPr>
              <w:spacing w:before="40" w:after="40" w:line="480" w:lineRule="auto"/>
              <w:jc w:val="both"/>
              <w:rPr>
                <w:b/>
                <w:szCs w:val="24"/>
                <w:lang w:val="en-IE"/>
              </w:rPr>
            </w:pPr>
            <w:r>
              <w:rPr>
                <w:b/>
                <w:szCs w:val="24"/>
                <w:lang w:val="en-IE"/>
              </w:rPr>
              <w:t>Are you a Carer</w:t>
            </w:r>
            <w:r w:rsidRPr="000052CF">
              <w:rPr>
                <w:b/>
                <w:szCs w:val="24"/>
                <w:lang w:val="en-IE"/>
              </w:rPr>
              <w:t xml:space="preserve">? </w:t>
            </w:r>
            <w:r w:rsidRPr="004E34FD">
              <w:rPr>
                <w:b/>
                <w:szCs w:val="24"/>
                <w:lang w:val="en-IE"/>
              </w:rPr>
              <w:t xml:space="preserve"> </w:t>
            </w:r>
            <w:r w:rsidRPr="004E34FD">
              <w:rPr>
                <w:i/>
                <w:szCs w:val="24"/>
                <w:lang w:val="en-IE"/>
              </w:rPr>
              <w:t>Tick one</w:t>
            </w:r>
          </w:p>
        </w:tc>
      </w:tr>
      <w:tr w:rsidR="00BC0114" w:rsidRPr="004E34FD" w:rsidDel="00DC6327" w14:paraId="572918DA" w14:textId="77777777" w:rsidTr="002D5FA9">
        <w:tc>
          <w:tcPr>
            <w:tcW w:w="283" w:type="pct"/>
            <w:vMerge w:val="restart"/>
            <w:vAlign w:val="center"/>
          </w:tcPr>
          <w:p w14:paraId="7393192B"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vAlign w:val="center"/>
          </w:tcPr>
          <w:p w14:paraId="6D397570" w14:textId="77777777" w:rsidR="00BC0114" w:rsidRPr="00097707" w:rsidRDefault="00BC0114" w:rsidP="002D5FA9">
            <w:pPr>
              <w:spacing w:before="0" w:after="0" w:line="480" w:lineRule="auto"/>
              <w:rPr>
                <w:rFonts w:eastAsia="Times New Roman"/>
                <w:lang w:val="en-GB" w:eastAsia="en-GB"/>
              </w:rPr>
            </w:pPr>
            <w:r>
              <w:rPr>
                <w:rFonts w:eastAsia="Times New Roman"/>
                <w:lang w:val="en-GB" w:eastAsia="en-GB"/>
              </w:rPr>
              <w:t>Yes</w:t>
            </w:r>
          </w:p>
        </w:tc>
        <w:tc>
          <w:tcPr>
            <w:tcW w:w="1403" w:type="pct"/>
            <w:tcBorders>
              <w:left w:val="single" w:sz="4" w:space="0" w:color="auto"/>
            </w:tcBorders>
            <w:vAlign w:val="center"/>
          </w:tcPr>
          <w:p w14:paraId="505B3C67" w14:textId="77777777" w:rsidR="00BC0114" w:rsidRPr="004E34FD" w:rsidDel="00DC6327" w:rsidRDefault="00BC0114" w:rsidP="002D5FA9">
            <w:pPr>
              <w:spacing w:before="120" w:after="12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rsidDel="00DC6327" w14:paraId="07D4994C" w14:textId="77777777" w:rsidTr="002D5FA9">
        <w:tc>
          <w:tcPr>
            <w:tcW w:w="283" w:type="pct"/>
            <w:vMerge/>
            <w:vAlign w:val="center"/>
          </w:tcPr>
          <w:p w14:paraId="5EAB5070"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vAlign w:val="center"/>
          </w:tcPr>
          <w:p w14:paraId="6D39D272" w14:textId="77777777" w:rsidR="00BC0114" w:rsidRPr="00097707" w:rsidRDefault="00BC0114" w:rsidP="002D5FA9">
            <w:pPr>
              <w:spacing w:before="0" w:after="0" w:line="480" w:lineRule="auto"/>
              <w:rPr>
                <w:rFonts w:eastAsia="Times New Roman"/>
                <w:lang w:val="en-GB" w:eastAsia="en-GB"/>
              </w:rPr>
            </w:pPr>
            <w:r>
              <w:rPr>
                <w:rFonts w:eastAsia="Times New Roman"/>
                <w:lang w:val="en-GB" w:eastAsia="en-GB"/>
              </w:rPr>
              <w:t>No</w:t>
            </w:r>
          </w:p>
        </w:tc>
        <w:tc>
          <w:tcPr>
            <w:tcW w:w="1403" w:type="pct"/>
            <w:tcBorders>
              <w:left w:val="single" w:sz="4" w:space="0" w:color="auto"/>
            </w:tcBorders>
            <w:vAlign w:val="center"/>
          </w:tcPr>
          <w:p w14:paraId="5E4B3F9F" w14:textId="77777777" w:rsidR="00BC0114" w:rsidRPr="004E34FD" w:rsidRDefault="00BC0114" w:rsidP="002D5FA9">
            <w:pPr>
              <w:spacing w:before="120" w:after="12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rsidDel="00DC6327" w14:paraId="5C2E003B" w14:textId="77777777" w:rsidTr="002D5FA9">
        <w:tc>
          <w:tcPr>
            <w:tcW w:w="283" w:type="pct"/>
            <w:vMerge/>
            <w:vAlign w:val="center"/>
          </w:tcPr>
          <w:p w14:paraId="0209A69F"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shd w:val="clear" w:color="auto" w:fill="F2F2F2" w:themeFill="background1" w:themeFillShade="F2"/>
            <w:vAlign w:val="center"/>
          </w:tcPr>
          <w:p w14:paraId="4749C31B" w14:textId="77777777" w:rsidR="00BC0114" w:rsidRPr="00591CC5" w:rsidRDefault="00BC0114" w:rsidP="002D5FA9">
            <w:pPr>
              <w:spacing w:before="0" w:after="0" w:line="480" w:lineRule="auto"/>
              <w:rPr>
                <w:rFonts w:eastAsia="Times New Roman"/>
                <w:b/>
                <w:lang w:val="en-GB" w:eastAsia="en-GB"/>
              </w:rPr>
            </w:pPr>
            <w:r w:rsidRPr="00591CC5">
              <w:rPr>
                <w:b/>
              </w:rPr>
              <w:t>Do not wish to disclose</w:t>
            </w:r>
          </w:p>
        </w:tc>
        <w:tc>
          <w:tcPr>
            <w:tcW w:w="1403" w:type="pct"/>
            <w:tcBorders>
              <w:left w:val="single" w:sz="4" w:space="0" w:color="auto"/>
            </w:tcBorders>
            <w:shd w:val="clear" w:color="auto" w:fill="F2F2F2" w:themeFill="background1" w:themeFillShade="F2"/>
            <w:vAlign w:val="center"/>
          </w:tcPr>
          <w:p w14:paraId="73CEB621" w14:textId="77777777" w:rsidR="00BC0114" w:rsidRPr="00591CC5" w:rsidRDefault="00BC0114" w:rsidP="002D5FA9">
            <w:pPr>
              <w:spacing w:before="120" w:after="120" w:line="480" w:lineRule="auto"/>
              <w:jc w:val="center"/>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p>
        </w:tc>
      </w:tr>
    </w:tbl>
    <w:p w14:paraId="6BCBB52B" w14:textId="77777777" w:rsidR="00BC0114" w:rsidRDefault="00BC0114"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295"/>
        <w:gridCol w:w="2665"/>
      </w:tblGrid>
      <w:tr w:rsidR="00BC0114" w:rsidRPr="004E34FD" w14:paraId="23DE6C41" w14:textId="77777777" w:rsidTr="002D5FA9">
        <w:trPr>
          <w:trHeight w:val="296"/>
        </w:trPr>
        <w:tc>
          <w:tcPr>
            <w:tcW w:w="283" w:type="pct"/>
            <w:shd w:val="clear" w:color="auto" w:fill="E0E0E0"/>
            <w:vAlign w:val="center"/>
          </w:tcPr>
          <w:p w14:paraId="00F21561" w14:textId="77777777" w:rsidR="00BC0114" w:rsidRPr="004E34FD" w:rsidRDefault="00BC0114" w:rsidP="00BC0114">
            <w:pPr>
              <w:widowControl/>
              <w:numPr>
                <w:ilvl w:val="0"/>
                <w:numId w:val="38"/>
              </w:numPr>
              <w:tabs>
                <w:tab w:val="num" w:pos="682"/>
              </w:tabs>
              <w:spacing w:before="40" w:after="40" w:line="480" w:lineRule="auto"/>
              <w:jc w:val="both"/>
              <w:rPr>
                <w:b/>
              </w:rPr>
            </w:pPr>
          </w:p>
        </w:tc>
        <w:tc>
          <w:tcPr>
            <w:tcW w:w="4717" w:type="pct"/>
            <w:gridSpan w:val="2"/>
            <w:tcBorders>
              <w:bottom w:val="single" w:sz="4" w:space="0" w:color="auto"/>
            </w:tcBorders>
            <w:shd w:val="clear" w:color="auto" w:fill="E0E0E0"/>
            <w:vAlign w:val="center"/>
          </w:tcPr>
          <w:p w14:paraId="622AED4C" w14:textId="77777777" w:rsidR="00BC0114" w:rsidRPr="004E34FD" w:rsidRDefault="00BC0114" w:rsidP="002D5FA9">
            <w:pPr>
              <w:spacing w:before="40" w:after="40" w:line="480" w:lineRule="auto"/>
              <w:jc w:val="both"/>
              <w:rPr>
                <w:b/>
                <w:szCs w:val="24"/>
                <w:lang w:val="en-IE"/>
              </w:rPr>
            </w:pPr>
            <w:r w:rsidRPr="000052CF">
              <w:rPr>
                <w:b/>
                <w:szCs w:val="24"/>
                <w:lang w:val="en-IE"/>
              </w:rPr>
              <w:t xml:space="preserve">Do you have any long-standing illness, health problem, condition or disability? </w:t>
            </w:r>
            <w:r w:rsidRPr="004E34FD">
              <w:rPr>
                <w:b/>
                <w:szCs w:val="24"/>
                <w:lang w:val="en-IE"/>
              </w:rPr>
              <w:t xml:space="preserve"> </w:t>
            </w:r>
            <w:r w:rsidRPr="004E34FD">
              <w:rPr>
                <w:i/>
                <w:szCs w:val="24"/>
                <w:lang w:val="en-IE"/>
              </w:rPr>
              <w:t>Tick one</w:t>
            </w:r>
          </w:p>
        </w:tc>
      </w:tr>
      <w:tr w:rsidR="00BC0114" w:rsidRPr="004E34FD" w:rsidDel="00DC6327" w14:paraId="2EF1E6FD" w14:textId="77777777" w:rsidTr="002D5FA9">
        <w:tc>
          <w:tcPr>
            <w:tcW w:w="283" w:type="pct"/>
            <w:vMerge w:val="restart"/>
            <w:vAlign w:val="center"/>
          </w:tcPr>
          <w:p w14:paraId="26EBD148"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vAlign w:val="center"/>
          </w:tcPr>
          <w:p w14:paraId="3FC87E90" w14:textId="77777777" w:rsidR="00BC0114" w:rsidRPr="00097707" w:rsidRDefault="00BC0114" w:rsidP="002D5FA9">
            <w:pPr>
              <w:spacing w:before="0" w:after="0" w:line="480" w:lineRule="auto"/>
              <w:rPr>
                <w:rFonts w:eastAsia="Times New Roman"/>
                <w:lang w:val="en-GB" w:eastAsia="en-GB"/>
              </w:rPr>
            </w:pPr>
            <w:r>
              <w:rPr>
                <w:rFonts w:eastAsia="Times New Roman"/>
                <w:lang w:val="en-GB" w:eastAsia="en-GB"/>
              </w:rPr>
              <w:t>Yes</w:t>
            </w:r>
          </w:p>
        </w:tc>
        <w:tc>
          <w:tcPr>
            <w:tcW w:w="1403" w:type="pct"/>
            <w:tcBorders>
              <w:left w:val="single" w:sz="4" w:space="0" w:color="auto"/>
            </w:tcBorders>
            <w:vAlign w:val="center"/>
          </w:tcPr>
          <w:p w14:paraId="09AC3820" w14:textId="77777777" w:rsidR="00BC0114" w:rsidRPr="004E34FD" w:rsidDel="00DC6327" w:rsidRDefault="00BC0114" w:rsidP="002D5FA9">
            <w:pPr>
              <w:spacing w:before="120" w:after="120" w:line="480" w:lineRule="auto"/>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r>
              <w:rPr>
                <w:b/>
                <w:szCs w:val="24"/>
                <w:lang w:val="en-IE"/>
              </w:rPr>
              <w:t xml:space="preserve"> (go to Q6)</w:t>
            </w:r>
          </w:p>
        </w:tc>
      </w:tr>
      <w:tr w:rsidR="00BC0114" w:rsidRPr="004E34FD" w:rsidDel="00DC6327" w14:paraId="1EC2BB27" w14:textId="77777777" w:rsidTr="002D5FA9">
        <w:tc>
          <w:tcPr>
            <w:tcW w:w="283" w:type="pct"/>
            <w:vMerge/>
            <w:vAlign w:val="center"/>
          </w:tcPr>
          <w:p w14:paraId="113736B4"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vAlign w:val="center"/>
          </w:tcPr>
          <w:p w14:paraId="0E3A531D" w14:textId="77777777" w:rsidR="00BC0114" w:rsidRPr="00097707" w:rsidRDefault="00BC0114" w:rsidP="002D5FA9">
            <w:pPr>
              <w:spacing w:before="0" w:after="0" w:line="480" w:lineRule="auto"/>
              <w:rPr>
                <w:rFonts w:eastAsia="Times New Roman"/>
                <w:lang w:val="en-GB" w:eastAsia="en-GB"/>
              </w:rPr>
            </w:pPr>
            <w:r>
              <w:rPr>
                <w:rFonts w:eastAsia="Times New Roman"/>
                <w:lang w:val="en-GB" w:eastAsia="en-GB"/>
              </w:rPr>
              <w:t>No</w:t>
            </w:r>
          </w:p>
        </w:tc>
        <w:tc>
          <w:tcPr>
            <w:tcW w:w="1403" w:type="pct"/>
            <w:tcBorders>
              <w:left w:val="single" w:sz="4" w:space="0" w:color="auto"/>
            </w:tcBorders>
            <w:vAlign w:val="center"/>
          </w:tcPr>
          <w:p w14:paraId="6E932A18" w14:textId="77777777" w:rsidR="00BC0114" w:rsidRPr="004E34FD" w:rsidRDefault="00BC0114" w:rsidP="002D5FA9">
            <w:pPr>
              <w:spacing w:before="120" w:after="120" w:line="480" w:lineRule="auto"/>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r>
              <w:rPr>
                <w:b/>
                <w:szCs w:val="24"/>
                <w:lang w:val="en-IE"/>
              </w:rPr>
              <w:t xml:space="preserve"> (go to Q7)</w:t>
            </w:r>
          </w:p>
        </w:tc>
      </w:tr>
      <w:tr w:rsidR="00BC0114" w:rsidRPr="004E34FD" w:rsidDel="00DC6327" w14:paraId="1FE5991F" w14:textId="77777777" w:rsidTr="002D5FA9">
        <w:tc>
          <w:tcPr>
            <w:tcW w:w="283" w:type="pct"/>
            <w:vMerge/>
            <w:vAlign w:val="center"/>
          </w:tcPr>
          <w:p w14:paraId="2F929851" w14:textId="77777777" w:rsidR="00BC0114" w:rsidRPr="004E34FD" w:rsidRDefault="00BC0114" w:rsidP="002D5FA9">
            <w:pPr>
              <w:spacing w:before="40" w:after="40" w:line="480" w:lineRule="auto"/>
              <w:jc w:val="both"/>
              <w:rPr>
                <w:b/>
                <w:bCs/>
                <w:szCs w:val="24"/>
                <w:lang w:val="en-IE"/>
              </w:rPr>
            </w:pPr>
          </w:p>
        </w:tc>
        <w:tc>
          <w:tcPr>
            <w:tcW w:w="3314" w:type="pct"/>
            <w:tcBorders>
              <w:right w:val="single" w:sz="4" w:space="0" w:color="auto"/>
            </w:tcBorders>
            <w:shd w:val="clear" w:color="auto" w:fill="F2F2F2" w:themeFill="background1" w:themeFillShade="F2"/>
            <w:vAlign w:val="center"/>
          </w:tcPr>
          <w:p w14:paraId="25EA2A67" w14:textId="77777777" w:rsidR="00BC0114" w:rsidRPr="00591CC5" w:rsidRDefault="00BC0114" w:rsidP="002D5FA9">
            <w:pPr>
              <w:spacing w:before="0" w:after="0" w:line="480" w:lineRule="auto"/>
              <w:rPr>
                <w:rFonts w:eastAsia="Times New Roman"/>
                <w:b/>
                <w:lang w:val="en-GB" w:eastAsia="en-GB"/>
              </w:rPr>
            </w:pPr>
            <w:r w:rsidRPr="00591CC5">
              <w:rPr>
                <w:b/>
              </w:rPr>
              <w:t>Do not wish to disclose</w:t>
            </w:r>
          </w:p>
        </w:tc>
        <w:tc>
          <w:tcPr>
            <w:tcW w:w="1403" w:type="pct"/>
            <w:tcBorders>
              <w:left w:val="single" w:sz="4" w:space="0" w:color="auto"/>
            </w:tcBorders>
            <w:shd w:val="clear" w:color="auto" w:fill="F2F2F2" w:themeFill="background1" w:themeFillShade="F2"/>
            <w:vAlign w:val="center"/>
          </w:tcPr>
          <w:p w14:paraId="23697621" w14:textId="77777777" w:rsidR="00BC0114" w:rsidRPr="00591CC5" w:rsidRDefault="00BC0114" w:rsidP="002D5FA9">
            <w:pPr>
              <w:spacing w:before="120" w:after="120" w:line="480" w:lineRule="auto"/>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r>
              <w:rPr>
                <w:b/>
                <w:szCs w:val="24"/>
                <w:lang w:val="en-IE"/>
              </w:rPr>
              <w:t xml:space="preserve"> (go to Q7)</w:t>
            </w:r>
          </w:p>
        </w:tc>
      </w:tr>
    </w:tbl>
    <w:p w14:paraId="462FF887" w14:textId="77777777" w:rsidR="00BC0114" w:rsidRDefault="00BC0114"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BC0114" w:rsidRPr="004E34FD" w14:paraId="5287E5F2" w14:textId="77777777" w:rsidTr="002D5FA9">
        <w:trPr>
          <w:trHeight w:val="296"/>
        </w:trPr>
        <w:tc>
          <w:tcPr>
            <w:tcW w:w="283" w:type="pct"/>
            <w:shd w:val="clear" w:color="auto" w:fill="E0E0E0"/>
            <w:vAlign w:val="center"/>
          </w:tcPr>
          <w:p w14:paraId="3EB59622" w14:textId="77777777" w:rsidR="00BC0114" w:rsidRPr="004E34FD" w:rsidRDefault="00BC0114" w:rsidP="00BC0114">
            <w:pPr>
              <w:widowControl/>
              <w:numPr>
                <w:ilvl w:val="0"/>
                <w:numId w:val="38"/>
              </w:numPr>
              <w:tabs>
                <w:tab w:val="num" w:pos="682"/>
              </w:tabs>
              <w:spacing w:before="40" w:after="40" w:line="360" w:lineRule="auto"/>
              <w:jc w:val="both"/>
              <w:rPr>
                <w:b/>
              </w:rPr>
            </w:pPr>
          </w:p>
        </w:tc>
        <w:tc>
          <w:tcPr>
            <w:tcW w:w="4717" w:type="pct"/>
            <w:gridSpan w:val="2"/>
            <w:tcBorders>
              <w:bottom w:val="single" w:sz="4" w:space="0" w:color="auto"/>
            </w:tcBorders>
            <w:shd w:val="clear" w:color="auto" w:fill="E0E0E0"/>
            <w:vAlign w:val="center"/>
          </w:tcPr>
          <w:p w14:paraId="574D7B81" w14:textId="77777777" w:rsidR="00BC0114" w:rsidRPr="004E34FD" w:rsidRDefault="00BC0114" w:rsidP="002D5FA9">
            <w:pPr>
              <w:spacing w:before="40" w:after="40" w:line="360" w:lineRule="auto"/>
              <w:jc w:val="both"/>
              <w:rPr>
                <w:b/>
                <w:szCs w:val="24"/>
                <w:lang w:val="en-IE"/>
              </w:rPr>
            </w:pPr>
            <w:r>
              <w:rPr>
                <w:b/>
                <w:szCs w:val="24"/>
                <w:lang w:val="en-IE"/>
              </w:rPr>
              <w:t>If yes, tick all that apply</w:t>
            </w:r>
            <w:r w:rsidRPr="004E34FD">
              <w:rPr>
                <w:b/>
                <w:szCs w:val="24"/>
                <w:lang w:val="en-IE"/>
              </w:rPr>
              <w:t xml:space="preserve"> </w:t>
            </w:r>
          </w:p>
        </w:tc>
      </w:tr>
      <w:tr w:rsidR="00BC0114" w:rsidRPr="004E34FD" w:rsidDel="00DC6327" w14:paraId="7510453D" w14:textId="77777777" w:rsidTr="002D5FA9">
        <w:tc>
          <w:tcPr>
            <w:tcW w:w="283" w:type="pct"/>
            <w:vMerge w:val="restart"/>
            <w:vAlign w:val="center"/>
          </w:tcPr>
          <w:p w14:paraId="428D45D6"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40BD032D"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Tiredness / Fatigue </w:t>
            </w:r>
          </w:p>
        </w:tc>
        <w:tc>
          <w:tcPr>
            <w:tcW w:w="731" w:type="pct"/>
            <w:tcBorders>
              <w:left w:val="single" w:sz="4" w:space="0" w:color="auto"/>
            </w:tcBorders>
            <w:vAlign w:val="center"/>
          </w:tcPr>
          <w:p w14:paraId="2E2FA66C" w14:textId="77777777" w:rsidR="00BC0114" w:rsidRPr="004E34FD" w:rsidDel="00DC6327"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rsidDel="00DC6327" w14:paraId="500BD063" w14:textId="77777777" w:rsidTr="002D5FA9">
        <w:tc>
          <w:tcPr>
            <w:tcW w:w="283" w:type="pct"/>
            <w:vMerge/>
            <w:vAlign w:val="center"/>
          </w:tcPr>
          <w:p w14:paraId="0C3D245B"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20A87FD1"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Pain </w:t>
            </w:r>
          </w:p>
        </w:tc>
        <w:tc>
          <w:tcPr>
            <w:tcW w:w="731" w:type="pct"/>
            <w:tcBorders>
              <w:left w:val="single" w:sz="4" w:space="0" w:color="auto"/>
            </w:tcBorders>
          </w:tcPr>
          <w:p w14:paraId="7B3C36B6"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46533BB1" w14:textId="77777777" w:rsidTr="002D5FA9">
        <w:tc>
          <w:tcPr>
            <w:tcW w:w="283" w:type="pct"/>
            <w:vMerge/>
            <w:vAlign w:val="center"/>
          </w:tcPr>
          <w:p w14:paraId="704651EF"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54C23436"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Insomnia </w:t>
            </w:r>
          </w:p>
        </w:tc>
        <w:tc>
          <w:tcPr>
            <w:tcW w:w="731" w:type="pct"/>
            <w:tcBorders>
              <w:left w:val="single" w:sz="4" w:space="0" w:color="auto"/>
            </w:tcBorders>
          </w:tcPr>
          <w:p w14:paraId="3959D528"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173589B2" w14:textId="77777777" w:rsidTr="002D5FA9">
        <w:tc>
          <w:tcPr>
            <w:tcW w:w="283" w:type="pct"/>
            <w:vMerge/>
            <w:vAlign w:val="center"/>
          </w:tcPr>
          <w:p w14:paraId="0225DF2E"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01EF8E14"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Anxiety / Nerves </w:t>
            </w:r>
          </w:p>
        </w:tc>
        <w:tc>
          <w:tcPr>
            <w:tcW w:w="731" w:type="pct"/>
            <w:tcBorders>
              <w:left w:val="single" w:sz="4" w:space="0" w:color="auto"/>
            </w:tcBorders>
            <w:vAlign w:val="center"/>
          </w:tcPr>
          <w:p w14:paraId="5E2A48BE" w14:textId="77777777" w:rsidR="00BC0114" w:rsidRPr="004E34FD" w:rsidDel="00DC6327"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50ED9E8E" w14:textId="77777777" w:rsidTr="002D5FA9">
        <w:tc>
          <w:tcPr>
            <w:tcW w:w="283" w:type="pct"/>
            <w:vMerge/>
            <w:vAlign w:val="center"/>
          </w:tcPr>
          <w:p w14:paraId="7BF03A57"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49FB2327"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Depression </w:t>
            </w:r>
          </w:p>
        </w:tc>
        <w:tc>
          <w:tcPr>
            <w:tcW w:w="731" w:type="pct"/>
            <w:tcBorders>
              <w:left w:val="single" w:sz="4" w:space="0" w:color="auto"/>
            </w:tcBorders>
          </w:tcPr>
          <w:p w14:paraId="42805946"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38D3C181" w14:textId="77777777" w:rsidTr="002D5FA9">
        <w:tc>
          <w:tcPr>
            <w:tcW w:w="283" w:type="pct"/>
            <w:vMerge/>
            <w:vAlign w:val="center"/>
          </w:tcPr>
          <w:p w14:paraId="46E89C68"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64C50E0E"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Diabetes </w:t>
            </w:r>
          </w:p>
        </w:tc>
        <w:tc>
          <w:tcPr>
            <w:tcW w:w="731" w:type="pct"/>
            <w:tcBorders>
              <w:left w:val="single" w:sz="4" w:space="0" w:color="auto"/>
            </w:tcBorders>
          </w:tcPr>
          <w:p w14:paraId="76B92BD7"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31730ED1" w14:textId="77777777" w:rsidTr="002D5FA9">
        <w:tc>
          <w:tcPr>
            <w:tcW w:w="283" w:type="pct"/>
            <w:vMerge/>
            <w:vAlign w:val="center"/>
          </w:tcPr>
          <w:p w14:paraId="2EB34902"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2F048EB8"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Breathing problems (e.g. chronic bronchitis, asthma or emphysema) </w:t>
            </w:r>
          </w:p>
        </w:tc>
        <w:tc>
          <w:tcPr>
            <w:tcW w:w="731" w:type="pct"/>
            <w:tcBorders>
              <w:left w:val="single" w:sz="4" w:space="0" w:color="auto"/>
            </w:tcBorders>
          </w:tcPr>
          <w:p w14:paraId="5CE3FD23"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22CD9DF1" w14:textId="77777777" w:rsidTr="002D5FA9">
        <w:tc>
          <w:tcPr>
            <w:tcW w:w="283" w:type="pct"/>
            <w:vMerge/>
            <w:vAlign w:val="center"/>
          </w:tcPr>
          <w:p w14:paraId="260C3F5E"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3EE7D204"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High blood pressure </w:t>
            </w:r>
          </w:p>
        </w:tc>
        <w:tc>
          <w:tcPr>
            <w:tcW w:w="731" w:type="pct"/>
            <w:tcBorders>
              <w:left w:val="single" w:sz="4" w:space="0" w:color="auto"/>
            </w:tcBorders>
          </w:tcPr>
          <w:p w14:paraId="5E70A743"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254770F3" w14:textId="77777777" w:rsidTr="002D5FA9">
        <w:tc>
          <w:tcPr>
            <w:tcW w:w="283" w:type="pct"/>
            <w:vMerge/>
            <w:vAlign w:val="center"/>
          </w:tcPr>
          <w:p w14:paraId="4530EFE8"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01706A75"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Heart disease </w:t>
            </w:r>
          </w:p>
        </w:tc>
        <w:tc>
          <w:tcPr>
            <w:tcW w:w="731" w:type="pct"/>
            <w:tcBorders>
              <w:left w:val="single" w:sz="4" w:space="0" w:color="auto"/>
            </w:tcBorders>
          </w:tcPr>
          <w:p w14:paraId="50B0AF71"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5337658C" w14:textId="77777777" w:rsidTr="002D5FA9">
        <w:tc>
          <w:tcPr>
            <w:tcW w:w="283" w:type="pct"/>
            <w:vMerge/>
            <w:vAlign w:val="center"/>
          </w:tcPr>
          <w:p w14:paraId="40C4D2A0"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59D10E61"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Osteoarthritis  </w:t>
            </w:r>
          </w:p>
        </w:tc>
        <w:tc>
          <w:tcPr>
            <w:tcW w:w="731" w:type="pct"/>
            <w:tcBorders>
              <w:left w:val="single" w:sz="4" w:space="0" w:color="auto"/>
            </w:tcBorders>
          </w:tcPr>
          <w:p w14:paraId="4421794D"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3E0E853D" w14:textId="77777777" w:rsidTr="002D5FA9">
        <w:tc>
          <w:tcPr>
            <w:tcW w:w="283" w:type="pct"/>
            <w:vMerge/>
            <w:vAlign w:val="center"/>
          </w:tcPr>
          <w:p w14:paraId="0F3F9F41"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16CD299A"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Stroke </w:t>
            </w:r>
          </w:p>
        </w:tc>
        <w:tc>
          <w:tcPr>
            <w:tcW w:w="731" w:type="pct"/>
            <w:tcBorders>
              <w:left w:val="single" w:sz="4" w:space="0" w:color="auto"/>
            </w:tcBorders>
          </w:tcPr>
          <w:p w14:paraId="57C1BA22"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34C9B8DE" w14:textId="77777777" w:rsidTr="002D5FA9">
        <w:tc>
          <w:tcPr>
            <w:tcW w:w="283" w:type="pct"/>
            <w:vMerge/>
            <w:vAlign w:val="center"/>
          </w:tcPr>
          <w:p w14:paraId="4E1A5BA9"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643B4ED0" w14:textId="77777777" w:rsidR="00BC0114" w:rsidRPr="00097707" w:rsidRDefault="00BC0114" w:rsidP="002D5FA9">
            <w:pPr>
              <w:spacing w:before="0" w:after="0" w:line="480" w:lineRule="auto"/>
              <w:rPr>
                <w:rFonts w:eastAsia="Times New Roman"/>
                <w:lang w:val="en-GB" w:eastAsia="en-GB"/>
              </w:rPr>
            </w:pPr>
            <w:r w:rsidRPr="003F5E04">
              <w:rPr>
                <w:rFonts w:eastAsia="Times New Roman"/>
                <w:lang w:val="en-GB" w:eastAsia="en-GB"/>
              </w:rPr>
              <w:t xml:space="preserve">Cancer  </w:t>
            </w:r>
          </w:p>
        </w:tc>
        <w:tc>
          <w:tcPr>
            <w:tcW w:w="731" w:type="pct"/>
            <w:tcBorders>
              <w:left w:val="single" w:sz="4" w:space="0" w:color="auto"/>
            </w:tcBorders>
          </w:tcPr>
          <w:p w14:paraId="524B7B65" w14:textId="77777777" w:rsidR="00BC0114" w:rsidRPr="004E34FD"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6DD2D08F" w14:textId="77777777" w:rsidTr="002D5FA9">
        <w:tc>
          <w:tcPr>
            <w:tcW w:w="283" w:type="pct"/>
            <w:vMerge/>
            <w:vAlign w:val="center"/>
          </w:tcPr>
          <w:p w14:paraId="39C5FB0F"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7B3D4331" w14:textId="77777777" w:rsidR="00BC0114" w:rsidRPr="003F5E04" w:rsidRDefault="00BC0114" w:rsidP="002D5FA9">
            <w:pPr>
              <w:spacing w:before="0" w:after="0" w:line="480" w:lineRule="auto"/>
              <w:rPr>
                <w:rFonts w:eastAsia="Times New Roman"/>
                <w:lang w:val="en-GB" w:eastAsia="en-GB"/>
              </w:rPr>
            </w:pPr>
            <w:r>
              <w:rPr>
                <w:rFonts w:eastAsia="Times New Roman"/>
                <w:lang w:val="en-GB" w:eastAsia="en-GB"/>
              </w:rPr>
              <w:t>Other*</w:t>
            </w:r>
          </w:p>
        </w:tc>
        <w:tc>
          <w:tcPr>
            <w:tcW w:w="731" w:type="pct"/>
            <w:tcBorders>
              <w:left w:val="single" w:sz="4" w:space="0" w:color="auto"/>
            </w:tcBorders>
          </w:tcPr>
          <w:p w14:paraId="78479959" w14:textId="77777777" w:rsidR="00BC0114" w:rsidRPr="007730DB" w:rsidRDefault="00BC0114"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BC0114" w:rsidRPr="004E34FD" w14:paraId="534E95CD" w14:textId="77777777" w:rsidTr="002D5FA9">
        <w:tc>
          <w:tcPr>
            <w:tcW w:w="283" w:type="pct"/>
            <w:vMerge/>
            <w:vAlign w:val="center"/>
          </w:tcPr>
          <w:p w14:paraId="4B97E713" w14:textId="77777777" w:rsidR="00BC0114" w:rsidRPr="004E34FD" w:rsidRDefault="00BC0114" w:rsidP="002D5FA9">
            <w:pPr>
              <w:spacing w:before="40" w:after="40" w:line="360" w:lineRule="auto"/>
              <w:jc w:val="both"/>
              <w:rPr>
                <w:b/>
                <w:bCs/>
                <w:szCs w:val="24"/>
                <w:lang w:val="en-IE"/>
              </w:rPr>
            </w:pPr>
          </w:p>
        </w:tc>
        <w:tc>
          <w:tcPr>
            <w:tcW w:w="4717" w:type="pct"/>
            <w:gridSpan w:val="2"/>
          </w:tcPr>
          <w:p w14:paraId="1D8897C0" w14:textId="77777777" w:rsidR="00BC0114" w:rsidRDefault="00BC0114" w:rsidP="002D5FA9">
            <w:pPr>
              <w:spacing w:line="360" w:lineRule="auto"/>
            </w:pPr>
            <w:r>
              <w:t>*Other (</w:t>
            </w:r>
            <w:r w:rsidRPr="00BA0301">
              <w:rPr>
                <w:i/>
              </w:rPr>
              <w:t>please state)</w:t>
            </w:r>
            <w:r>
              <w:t xml:space="preserve"> </w:t>
            </w:r>
          </w:p>
          <w:p w14:paraId="1C325E0B" w14:textId="77777777" w:rsidR="00BC0114" w:rsidRPr="004E34FD" w:rsidRDefault="00BC0114" w:rsidP="002D5FA9">
            <w:pPr>
              <w:spacing w:before="120" w:after="120" w:line="360" w:lineRule="auto"/>
              <w:rPr>
                <w:b/>
                <w:szCs w:val="24"/>
                <w:lang w:val="en-IE"/>
              </w:rPr>
            </w:pPr>
          </w:p>
        </w:tc>
      </w:tr>
    </w:tbl>
    <w:p w14:paraId="08D5B018" w14:textId="77777777" w:rsidR="00BC0114" w:rsidRDefault="00BC0114" w:rsidP="00AE785D">
      <w:pPr>
        <w:pStyle w:val="BodyText-parastyle"/>
        <w:rPr>
          <w:rStyle w:val="Strong"/>
        </w:rPr>
      </w:pPr>
    </w:p>
    <w:p w14:paraId="08D13B4D" w14:textId="77777777" w:rsidR="00BC0114" w:rsidRPr="00097707" w:rsidRDefault="00BC0114" w:rsidP="00AE785D">
      <w:pPr>
        <w:pStyle w:val="BodyText-parastylebold"/>
        <w:rPr>
          <w:rStyle w:val="Strong"/>
          <w:b/>
        </w:rPr>
      </w:pPr>
      <w:r w:rsidRPr="00097707">
        <w:rPr>
          <w:rStyle w:val="Strong"/>
          <w:b/>
        </w:rPr>
        <w:t>Personal Wellbeing</w:t>
      </w:r>
      <w:r w:rsidRPr="00097707">
        <w:rPr>
          <w:rStyle w:val="FootnoteReference"/>
          <w:b w:val="0"/>
        </w:rPr>
        <w:footnoteReference w:id="136"/>
      </w:r>
      <w:r w:rsidRPr="00097707">
        <w:rPr>
          <w:lang w:val="en-US"/>
        </w:rPr>
        <w:t xml:space="preserve"> </w:t>
      </w:r>
    </w:p>
    <w:tbl>
      <w:tblPr>
        <w:tblpPr w:leftFromText="180" w:rightFromText="180" w:vertAnchor="text" w:horzAnchor="margin" w:tblpX="108" w:tblpY="120"/>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7"/>
        <w:gridCol w:w="807"/>
        <w:gridCol w:w="808"/>
        <w:gridCol w:w="807"/>
        <w:gridCol w:w="808"/>
        <w:gridCol w:w="807"/>
        <w:gridCol w:w="808"/>
        <w:gridCol w:w="807"/>
        <w:gridCol w:w="808"/>
        <w:gridCol w:w="807"/>
        <w:gridCol w:w="808"/>
      </w:tblGrid>
      <w:tr w:rsidR="00BC0114" w:rsidRPr="00D53318" w14:paraId="46ECB625" w14:textId="77777777" w:rsidTr="002D5FA9">
        <w:trPr>
          <w:tblHeader/>
        </w:trPr>
        <w:tc>
          <w:tcPr>
            <w:tcW w:w="675" w:type="dxa"/>
            <w:shd w:val="clear" w:color="auto" w:fill="E0E0E0"/>
            <w:vAlign w:val="center"/>
          </w:tcPr>
          <w:p w14:paraId="5DDC9D63" w14:textId="77777777" w:rsidR="00BC0114" w:rsidRPr="00D53318" w:rsidRDefault="00BC0114" w:rsidP="00BC0114">
            <w:pPr>
              <w:pStyle w:val="QuestionHeader2"/>
              <w:numPr>
                <w:ilvl w:val="0"/>
                <w:numId w:val="38"/>
              </w:numPr>
              <w:tabs>
                <w:tab w:val="num" w:pos="574"/>
              </w:tabs>
              <w:spacing w:before="40" w:after="40" w:line="360" w:lineRule="auto"/>
              <w:rPr>
                <w:rFonts w:ascii="Arial" w:hAnsi="Arial" w:cs="Arial"/>
                <w:sz w:val="20"/>
                <w:szCs w:val="20"/>
              </w:rPr>
            </w:pPr>
          </w:p>
        </w:tc>
        <w:tc>
          <w:tcPr>
            <w:tcW w:w="8882" w:type="dxa"/>
            <w:gridSpan w:val="11"/>
            <w:shd w:val="clear" w:color="auto" w:fill="E0E0E0"/>
            <w:vAlign w:val="center"/>
          </w:tcPr>
          <w:p w14:paraId="738EC371" w14:textId="77777777" w:rsidR="00BC0114" w:rsidRDefault="00BC0114"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how </w:t>
            </w:r>
            <w:r w:rsidRPr="00730069">
              <w:rPr>
                <w:b/>
              </w:rPr>
              <w:t>satisfied are you with your life nowadays</w:t>
            </w:r>
            <w:r w:rsidRPr="00D53318">
              <w:rPr>
                <w:b/>
              </w:rPr>
              <w:t>?</w:t>
            </w:r>
            <w:r>
              <w:rPr>
                <w:b/>
              </w:rPr>
              <w:t xml:space="preserve"> </w:t>
            </w:r>
            <w:r w:rsidRPr="00D53318">
              <w:rPr>
                <w:i/>
              </w:rPr>
              <w:t xml:space="preserve">Tick one </w:t>
            </w:r>
          </w:p>
        </w:tc>
      </w:tr>
      <w:tr w:rsidR="00BC0114" w:rsidRPr="00D53318" w:rsidDel="00DC6327" w14:paraId="0BE7742D" w14:textId="77777777" w:rsidTr="002D5FA9">
        <w:trPr>
          <w:trHeight w:val="329"/>
        </w:trPr>
        <w:tc>
          <w:tcPr>
            <w:tcW w:w="675" w:type="dxa"/>
            <w:vMerge w:val="restart"/>
            <w:vAlign w:val="center"/>
          </w:tcPr>
          <w:p w14:paraId="02147918" w14:textId="77777777" w:rsidR="00BC0114" w:rsidRPr="00D53318" w:rsidRDefault="00BC0114" w:rsidP="002D5FA9">
            <w:pPr>
              <w:spacing w:before="40" w:after="40" w:line="360" w:lineRule="auto"/>
              <w:rPr>
                <w:b/>
                <w:bCs/>
              </w:rPr>
            </w:pPr>
          </w:p>
        </w:tc>
        <w:tc>
          <w:tcPr>
            <w:tcW w:w="807" w:type="dxa"/>
            <w:vAlign w:val="center"/>
          </w:tcPr>
          <w:p w14:paraId="6676446A" w14:textId="77777777" w:rsidR="00BC0114" w:rsidRPr="003F5E04" w:rsidRDefault="00BC0114" w:rsidP="002D5FA9">
            <w:pPr>
              <w:spacing w:before="40" w:after="40" w:line="360" w:lineRule="auto"/>
              <w:jc w:val="center"/>
              <w:rPr>
                <w:b/>
              </w:rPr>
            </w:pPr>
            <w:r w:rsidRPr="003F5E04">
              <w:rPr>
                <w:b/>
              </w:rPr>
              <w:t>0</w:t>
            </w:r>
          </w:p>
        </w:tc>
        <w:tc>
          <w:tcPr>
            <w:tcW w:w="807" w:type="dxa"/>
            <w:vAlign w:val="center"/>
          </w:tcPr>
          <w:p w14:paraId="622B8747" w14:textId="77777777" w:rsidR="00BC0114" w:rsidRPr="003F5E04" w:rsidRDefault="00BC0114" w:rsidP="002D5FA9">
            <w:pPr>
              <w:spacing w:before="40" w:after="40" w:line="360" w:lineRule="auto"/>
              <w:jc w:val="center"/>
              <w:rPr>
                <w:b/>
              </w:rPr>
            </w:pPr>
            <w:r w:rsidRPr="003F5E04">
              <w:rPr>
                <w:b/>
              </w:rPr>
              <w:t>1</w:t>
            </w:r>
          </w:p>
        </w:tc>
        <w:tc>
          <w:tcPr>
            <w:tcW w:w="808" w:type="dxa"/>
            <w:vAlign w:val="center"/>
          </w:tcPr>
          <w:p w14:paraId="3AF1876F" w14:textId="77777777" w:rsidR="00BC0114" w:rsidRPr="003F5E04" w:rsidRDefault="00BC0114" w:rsidP="002D5FA9">
            <w:pPr>
              <w:spacing w:before="40" w:after="40" w:line="360" w:lineRule="auto"/>
              <w:jc w:val="center"/>
              <w:rPr>
                <w:b/>
              </w:rPr>
            </w:pPr>
            <w:r w:rsidRPr="003F5E04">
              <w:rPr>
                <w:b/>
              </w:rPr>
              <w:t>2</w:t>
            </w:r>
          </w:p>
        </w:tc>
        <w:tc>
          <w:tcPr>
            <w:tcW w:w="807" w:type="dxa"/>
            <w:vAlign w:val="center"/>
          </w:tcPr>
          <w:p w14:paraId="5EE58297" w14:textId="77777777" w:rsidR="00BC0114" w:rsidRPr="003F5E04" w:rsidRDefault="00BC0114" w:rsidP="002D5FA9">
            <w:pPr>
              <w:spacing w:before="40" w:after="40" w:line="360" w:lineRule="auto"/>
              <w:jc w:val="center"/>
              <w:rPr>
                <w:b/>
              </w:rPr>
            </w:pPr>
            <w:r w:rsidRPr="003F5E04">
              <w:rPr>
                <w:b/>
              </w:rPr>
              <w:t>3</w:t>
            </w:r>
          </w:p>
        </w:tc>
        <w:tc>
          <w:tcPr>
            <w:tcW w:w="808" w:type="dxa"/>
            <w:vAlign w:val="center"/>
          </w:tcPr>
          <w:p w14:paraId="25CFCFD2" w14:textId="77777777" w:rsidR="00BC0114" w:rsidRPr="003F5E04" w:rsidRDefault="00BC0114" w:rsidP="002D5FA9">
            <w:pPr>
              <w:spacing w:before="40" w:after="40" w:line="360" w:lineRule="auto"/>
              <w:jc w:val="center"/>
              <w:rPr>
                <w:b/>
              </w:rPr>
            </w:pPr>
            <w:r w:rsidRPr="003F5E04">
              <w:rPr>
                <w:b/>
              </w:rPr>
              <w:t>4</w:t>
            </w:r>
          </w:p>
        </w:tc>
        <w:tc>
          <w:tcPr>
            <w:tcW w:w="807" w:type="dxa"/>
            <w:vAlign w:val="center"/>
          </w:tcPr>
          <w:p w14:paraId="30647385" w14:textId="77777777" w:rsidR="00BC0114" w:rsidRPr="00730069" w:rsidRDefault="00BC0114" w:rsidP="002D5FA9">
            <w:pPr>
              <w:spacing w:before="40" w:after="40" w:line="360" w:lineRule="auto"/>
              <w:jc w:val="center"/>
              <w:rPr>
                <w:b/>
              </w:rPr>
            </w:pPr>
            <w:r w:rsidRPr="00730069">
              <w:rPr>
                <w:b/>
              </w:rPr>
              <w:t>5</w:t>
            </w:r>
          </w:p>
        </w:tc>
        <w:tc>
          <w:tcPr>
            <w:tcW w:w="808" w:type="dxa"/>
            <w:vAlign w:val="center"/>
          </w:tcPr>
          <w:p w14:paraId="18B0930E" w14:textId="77777777" w:rsidR="00BC0114" w:rsidRPr="00730069" w:rsidRDefault="00BC0114" w:rsidP="002D5FA9">
            <w:pPr>
              <w:spacing w:before="40" w:after="40" w:line="360" w:lineRule="auto"/>
              <w:jc w:val="center"/>
              <w:rPr>
                <w:b/>
              </w:rPr>
            </w:pPr>
            <w:r w:rsidRPr="00730069">
              <w:rPr>
                <w:b/>
              </w:rPr>
              <w:t>6</w:t>
            </w:r>
          </w:p>
        </w:tc>
        <w:tc>
          <w:tcPr>
            <w:tcW w:w="807" w:type="dxa"/>
            <w:vAlign w:val="center"/>
          </w:tcPr>
          <w:p w14:paraId="49063C7A" w14:textId="77777777" w:rsidR="00BC0114" w:rsidRPr="00730069" w:rsidRDefault="00BC0114" w:rsidP="002D5FA9">
            <w:pPr>
              <w:spacing w:before="40" w:after="40" w:line="360" w:lineRule="auto"/>
              <w:jc w:val="center"/>
              <w:rPr>
                <w:b/>
              </w:rPr>
            </w:pPr>
            <w:r w:rsidRPr="00730069">
              <w:rPr>
                <w:b/>
              </w:rPr>
              <w:t>7</w:t>
            </w:r>
          </w:p>
        </w:tc>
        <w:tc>
          <w:tcPr>
            <w:tcW w:w="808" w:type="dxa"/>
            <w:vAlign w:val="center"/>
          </w:tcPr>
          <w:p w14:paraId="0F4AFD99" w14:textId="77777777" w:rsidR="00BC0114" w:rsidRPr="00730069" w:rsidRDefault="00BC0114" w:rsidP="002D5FA9">
            <w:pPr>
              <w:spacing w:before="40" w:after="40" w:line="360" w:lineRule="auto"/>
              <w:jc w:val="center"/>
              <w:rPr>
                <w:b/>
              </w:rPr>
            </w:pPr>
            <w:r w:rsidRPr="00730069">
              <w:rPr>
                <w:b/>
              </w:rPr>
              <w:t>8</w:t>
            </w:r>
          </w:p>
        </w:tc>
        <w:tc>
          <w:tcPr>
            <w:tcW w:w="807" w:type="dxa"/>
            <w:vAlign w:val="center"/>
          </w:tcPr>
          <w:p w14:paraId="4AEF91ED" w14:textId="77777777" w:rsidR="00BC0114" w:rsidRPr="00730069" w:rsidRDefault="00BC0114" w:rsidP="002D5FA9">
            <w:pPr>
              <w:spacing w:before="40" w:after="40" w:line="360" w:lineRule="auto"/>
              <w:jc w:val="center"/>
              <w:rPr>
                <w:b/>
              </w:rPr>
            </w:pPr>
            <w:r w:rsidRPr="00730069">
              <w:rPr>
                <w:b/>
              </w:rPr>
              <w:t>9</w:t>
            </w:r>
          </w:p>
        </w:tc>
        <w:tc>
          <w:tcPr>
            <w:tcW w:w="808" w:type="dxa"/>
            <w:vAlign w:val="center"/>
          </w:tcPr>
          <w:p w14:paraId="63BE058A" w14:textId="77777777" w:rsidR="00BC0114" w:rsidRPr="00730069" w:rsidRDefault="00BC0114" w:rsidP="002D5FA9">
            <w:pPr>
              <w:spacing w:before="40" w:after="40" w:line="360" w:lineRule="auto"/>
              <w:jc w:val="center"/>
              <w:rPr>
                <w:b/>
              </w:rPr>
            </w:pPr>
            <w:r w:rsidRPr="00730069">
              <w:rPr>
                <w:b/>
              </w:rPr>
              <w:t>10</w:t>
            </w:r>
          </w:p>
        </w:tc>
      </w:tr>
      <w:tr w:rsidR="00BC0114" w:rsidRPr="00D53318" w:rsidDel="00DC6327" w14:paraId="5FD85CB8" w14:textId="77777777" w:rsidTr="002D5FA9">
        <w:trPr>
          <w:trHeight w:val="281"/>
        </w:trPr>
        <w:tc>
          <w:tcPr>
            <w:tcW w:w="675" w:type="dxa"/>
            <w:vMerge/>
            <w:vAlign w:val="center"/>
          </w:tcPr>
          <w:p w14:paraId="49608B2F" w14:textId="77777777" w:rsidR="00BC0114" w:rsidRPr="00D53318" w:rsidRDefault="00BC0114" w:rsidP="002D5FA9">
            <w:pPr>
              <w:spacing w:before="40" w:after="40" w:line="360" w:lineRule="auto"/>
              <w:rPr>
                <w:b/>
                <w:bCs/>
              </w:rPr>
            </w:pPr>
          </w:p>
        </w:tc>
        <w:tc>
          <w:tcPr>
            <w:tcW w:w="807" w:type="dxa"/>
            <w:vAlign w:val="center"/>
          </w:tcPr>
          <w:p w14:paraId="17C863B1"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7DA53A10"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46B183EE"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231F0EB7"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7984405E"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61A657B3"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457F4A1D"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3F4B1D71"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3FB548E6"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28BA7905"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14C18A0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0A69F190" w14:textId="77777777" w:rsidR="00BC0114" w:rsidRDefault="00BC0114" w:rsidP="00AE785D">
      <w:pPr>
        <w:pStyle w:val="BodyText-parastyle"/>
        <w:rPr>
          <w:rStyle w:val="Strong"/>
        </w:rPr>
      </w:pPr>
    </w:p>
    <w:tbl>
      <w:tblPr>
        <w:tblW w:w="9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8"/>
        <w:gridCol w:w="807"/>
        <w:gridCol w:w="808"/>
        <w:gridCol w:w="807"/>
        <w:gridCol w:w="808"/>
        <w:gridCol w:w="807"/>
        <w:gridCol w:w="808"/>
        <w:gridCol w:w="807"/>
        <w:gridCol w:w="808"/>
        <w:gridCol w:w="807"/>
        <w:gridCol w:w="808"/>
      </w:tblGrid>
      <w:tr w:rsidR="00BC0114" w:rsidRPr="00D53318" w14:paraId="4EBC3256" w14:textId="77777777" w:rsidTr="002D5FA9">
        <w:trPr>
          <w:tblHeader/>
        </w:trPr>
        <w:tc>
          <w:tcPr>
            <w:tcW w:w="567" w:type="dxa"/>
            <w:shd w:val="clear" w:color="auto" w:fill="E0E0E0"/>
            <w:vAlign w:val="center"/>
          </w:tcPr>
          <w:p w14:paraId="1D64D850" w14:textId="77777777" w:rsidR="00BC0114" w:rsidRPr="00D53318" w:rsidRDefault="00BC0114" w:rsidP="00BC0114">
            <w:pPr>
              <w:pStyle w:val="QuestionHeader2"/>
              <w:numPr>
                <w:ilvl w:val="0"/>
                <w:numId w:val="38"/>
              </w:numPr>
              <w:tabs>
                <w:tab w:val="num" w:pos="574"/>
              </w:tabs>
              <w:spacing w:before="40" w:after="40" w:line="360" w:lineRule="auto"/>
              <w:rPr>
                <w:rFonts w:ascii="Arial" w:hAnsi="Arial" w:cs="Arial"/>
                <w:sz w:val="20"/>
                <w:szCs w:val="20"/>
              </w:rPr>
            </w:pPr>
          </w:p>
        </w:tc>
        <w:tc>
          <w:tcPr>
            <w:tcW w:w="8853" w:type="dxa"/>
            <w:gridSpan w:val="11"/>
            <w:shd w:val="clear" w:color="auto" w:fill="E0E0E0"/>
            <w:vAlign w:val="center"/>
          </w:tcPr>
          <w:p w14:paraId="40CB34FA" w14:textId="77777777" w:rsidR="00BC0114" w:rsidRDefault="00BC0114"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to what extent do you feel the things you do in your life are worthwhile</w:t>
            </w:r>
            <w:r w:rsidRPr="00D53318">
              <w:rPr>
                <w:b/>
              </w:rPr>
              <w:t>?</w:t>
            </w:r>
            <w:r>
              <w:rPr>
                <w:b/>
              </w:rPr>
              <w:t xml:space="preserve"> </w:t>
            </w:r>
            <w:r w:rsidRPr="00D53318">
              <w:rPr>
                <w:i/>
              </w:rPr>
              <w:t xml:space="preserve">Tick one </w:t>
            </w:r>
          </w:p>
        </w:tc>
      </w:tr>
      <w:tr w:rsidR="00BC0114" w:rsidRPr="00D53318" w:rsidDel="00DC6327" w14:paraId="339D0687" w14:textId="77777777" w:rsidTr="002D5FA9">
        <w:trPr>
          <w:trHeight w:val="329"/>
        </w:trPr>
        <w:tc>
          <w:tcPr>
            <w:tcW w:w="567" w:type="dxa"/>
            <w:vMerge w:val="restart"/>
            <w:vAlign w:val="center"/>
          </w:tcPr>
          <w:p w14:paraId="24E3ED14" w14:textId="77777777" w:rsidR="00BC0114" w:rsidRPr="00D53318" w:rsidRDefault="00BC0114" w:rsidP="002D5FA9">
            <w:pPr>
              <w:spacing w:before="40" w:after="40" w:line="360" w:lineRule="auto"/>
              <w:rPr>
                <w:b/>
                <w:bCs/>
              </w:rPr>
            </w:pPr>
          </w:p>
        </w:tc>
        <w:tc>
          <w:tcPr>
            <w:tcW w:w="778" w:type="dxa"/>
            <w:vAlign w:val="center"/>
          </w:tcPr>
          <w:p w14:paraId="570AD7F4" w14:textId="77777777" w:rsidR="00BC0114" w:rsidRPr="003F5E04" w:rsidRDefault="00BC0114" w:rsidP="002D5FA9">
            <w:pPr>
              <w:spacing w:before="40" w:after="40" w:line="360" w:lineRule="auto"/>
              <w:jc w:val="center"/>
              <w:rPr>
                <w:b/>
              </w:rPr>
            </w:pPr>
            <w:r w:rsidRPr="003F5E04">
              <w:rPr>
                <w:b/>
              </w:rPr>
              <w:t>0</w:t>
            </w:r>
          </w:p>
        </w:tc>
        <w:tc>
          <w:tcPr>
            <w:tcW w:w="807" w:type="dxa"/>
            <w:vAlign w:val="center"/>
          </w:tcPr>
          <w:p w14:paraId="560B949D" w14:textId="77777777" w:rsidR="00BC0114" w:rsidRPr="003F5E04" w:rsidRDefault="00BC0114" w:rsidP="002D5FA9">
            <w:pPr>
              <w:spacing w:before="40" w:after="40" w:line="360" w:lineRule="auto"/>
              <w:jc w:val="center"/>
              <w:rPr>
                <w:b/>
              </w:rPr>
            </w:pPr>
            <w:r w:rsidRPr="003F5E04">
              <w:rPr>
                <w:b/>
              </w:rPr>
              <w:t>1</w:t>
            </w:r>
          </w:p>
        </w:tc>
        <w:tc>
          <w:tcPr>
            <w:tcW w:w="808" w:type="dxa"/>
            <w:vAlign w:val="center"/>
          </w:tcPr>
          <w:p w14:paraId="1551373C" w14:textId="77777777" w:rsidR="00BC0114" w:rsidRPr="003F5E04" w:rsidRDefault="00BC0114" w:rsidP="002D5FA9">
            <w:pPr>
              <w:spacing w:before="40" w:after="40" w:line="360" w:lineRule="auto"/>
              <w:jc w:val="center"/>
              <w:rPr>
                <w:b/>
              </w:rPr>
            </w:pPr>
            <w:r w:rsidRPr="003F5E04">
              <w:rPr>
                <w:b/>
              </w:rPr>
              <w:t>2</w:t>
            </w:r>
          </w:p>
        </w:tc>
        <w:tc>
          <w:tcPr>
            <w:tcW w:w="807" w:type="dxa"/>
            <w:vAlign w:val="center"/>
          </w:tcPr>
          <w:p w14:paraId="67C0B75C" w14:textId="77777777" w:rsidR="00BC0114" w:rsidRPr="003F5E04" w:rsidRDefault="00BC0114" w:rsidP="002D5FA9">
            <w:pPr>
              <w:spacing w:before="40" w:after="40" w:line="360" w:lineRule="auto"/>
              <w:jc w:val="center"/>
              <w:rPr>
                <w:b/>
              </w:rPr>
            </w:pPr>
            <w:r w:rsidRPr="003F5E04">
              <w:rPr>
                <w:b/>
              </w:rPr>
              <w:t>3</w:t>
            </w:r>
          </w:p>
        </w:tc>
        <w:tc>
          <w:tcPr>
            <w:tcW w:w="808" w:type="dxa"/>
            <w:vAlign w:val="center"/>
          </w:tcPr>
          <w:p w14:paraId="674737F6" w14:textId="77777777" w:rsidR="00BC0114" w:rsidRPr="003F5E04" w:rsidRDefault="00BC0114" w:rsidP="002D5FA9">
            <w:pPr>
              <w:spacing w:before="40" w:after="40" w:line="360" w:lineRule="auto"/>
              <w:jc w:val="center"/>
              <w:rPr>
                <w:b/>
              </w:rPr>
            </w:pPr>
            <w:r w:rsidRPr="003F5E04">
              <w:rPr>
                <w:b/>
              </w:rPr>
              <w:t>4</w:t>
            </w:r>
          </w:p>
        </w:tc>
        <w:tc>
          <w:tcPr>
            <w:tcW w:w="807" w:type="dxa"/>
            <w:vAlign w:val="center"/>
          </w:tcPr>
          <w:p w14:paraId="323AB5A7" w14:textId="77777777" w:rsidR="00BC0114" w:rsidRPr="00730069" w:rsidRDefault="00BC0114" w:rsidP="002D5FA9">
            <w:pPr>
              <w:spacing w:before="40" w:after="40" w:line="360" w:lineRule="auto"/>
              <w:jc w:val="center"/>
              <w:rPr>
                <w:b/>
              </w:rPr>
            </w:pPr>
            <w:r w:rsidRPr="00730069">
              <w:rPr>
                <w:b/>
              </w:rPr>
              <w:t>5</w:t>
            </w:r>
          </w:p>
        </w:tc>
        <w:tc>
          <w:tcPr>
            <w:tcW w:w="808" w:type="dxa"/>
            <w:vAlign w:val="center"/>
          </w:tcPr>
          <w:p w14:paraId="1157A6FB" w14:textId="77777777" w:rsidR="00BC0114" w:rsidRPr="00730069" w:rsidRDefault="00BC0114" w:rsidP="002D5FA9">
            <w:pPr>
              <w:spacing w:before="40" w:after="40" w:line="360" w:lineRule="auto"/>
              <w:jc w:val="center"/>
              <w:rPr>
                <w:b/>
              </w:rPr>
            </w:pPr>
            <w:r w:rsidRPr="00730069">
              <w:rPr>
                <w:b/>
              </w:rPr>
              <w:t>6</w:t>
            </w:r>
          </w:p>
        </w:tc>
        <w:tc>
          <w:tcPr>
            <w:tcW w:w="807" w:type="dxa"/>
            <w:vAlign w:val="center"/>
          </w:tcPr>
          <w:p w14:paraId="6AADA075" w14:textId="77777777" w:rsidR="00BC0114" w:rsidRPr="00730069" w:rsidRDefault="00BC0114" w:rsidP="002D5FA9">
            <w:pPr>
              <w:spacing w:before="40" w:after="40" w:line="360" w:lineRule="auto"/>
              <w:jc w:val="center"/>
              <w:rPr>
                <w:b/>
              </w:rPr>
            </w:pPr>
            <w:r w:rsidRPr="00730069">
              <w:rPr>
                <w:b/>
              </w:rPr>
              <w:t>7</w:t>
            </w:r>
          </w:p>
        </w:tc>
        <w:tc>
          <w:tcPr>
            <w:tcW w:w="808" w:type="dxa"/>
            <w:vAlign w:val="center"/>
          </w:tcPr>
          <w:p w14:paraId="21F187F7" w14:textId="77777777" w:rsidR="00BC0114" w:rsidRPr="00730069" w:rsidRDefault="00BC0114" w:rsidP="002D5FA9">
            <w:pPr>
              <w:spacing w:before="40" w:after="40" w:line="360" w:lineRule="auto"/>
              <w:jc w:val="center"/>
              <w:rPr>
                <w:b/>
              </w:rPr>
            </w:pPr>
            <w:r w:rsidRPr="00730069">
              <w:rPr>
                <w:b/>
              </w:rPr>
              <w:t>8</w:t>
            </w:r>
          </w:p>
        </w:tc>
        <w:tc>
          <w:tcPr>
            <w:tcW w:w="807" w:type="dxa"/>
            <w:vAlign w:val="center"/>
          </w:tcPr>
          <w:p w14:paraId="49F9D1F1" w14:textId="77777777" w:rsidR="00BC0114" w:rsidRPr="00730069" w:rsidRDefault="00BC0114" w:rsidP="002D5FA9">
            <w:pPr>
              <w:spacing w:before="40" w:after="40" w:line="360" w:lineRule="auto"/>
              <w:jc w:val="center"/>
              <w:rPr>
                <w:b/>
              </w:rPr>
            </w:pPr>
            <w:r w:rsidRPr="00730069">
              <w:rPr>
                <w:b/>
              </w:rPr>
              <w:t>9</w:t>
            </w:r>
          </w:p>
        </w:tc>
        <w:tc>
          <w:tcPr>
            <w:tcW w:w="808" w:type="dxa"/>
            <w:vAlign w:val="center"/>
          </w:tcPr>
          <w:p w14:paraId="0FF7E1C5" w14:textId="77777777" w:rsidR="00BC0114" w:rsidRPr="00730069" w:rsidRDefault="00BC0114" w:rsidP="002D5FA9">
            <w:pPr>
              <w:spacing w:before="40" w:after="40" w:line="360" w:lineRule="auto"/>
              <w:jc w:val="center"/>
              <w:rPr>
                <w:b/>
              </w:rPr>
            </w:pPr>
            <w:r w:rsidRPr="00730069">
              <w:rPr>
                <w:b/>
              </w:rPr>
              <w:t>10</w:t>
            </w:r>
          </w:p>
        </w:tc>
      </w:tr>
      <w:tr w:rsidR="00BC0114" w:rsidRPr="00D53318" w:rsidDel="00DC6327" w14:paraId="55F8F72E" w14:textId="77777777" w:rsidTr="002D5FA9">
        <w:trPr>
          <w:trHeight w:val="281"/>
        </w:trPr>
        <w:tc>
          <w:tcPr>
            <w:tcW w:w="567" w:type="dxa"/>
            <w:vMerge/>
            <w:vAlign w:val="center"/>
          </w:tcPr>
          <w:p w14:paraId="2A103938" w14:textId="77777777" w:rsidR="00BC0114" w:rsidRPr="00D53318" w:rsidRDefault="00BC0114" w:rsidP="002D5FA9">
            <w:pPr>
              <w:spacing w:before="40" w:after="40" w:line="360" w:lineRule="auto"/>
              <w:rPr>
                <w:b/>
                <w:bCs/>
              </w:rPr>
            </w:pPr>
          </w:p>
        </w:tc>
        <w:tc>
          <w:tcPr>
            <w:tcW w:w="778" w:type="dxa"/>
            <w:vAlign w:val="center"/>
          </w:tcPr>
          <w:p w14:paraId="4B6FDA75"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1D1C8E6D"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6B90AFDB"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28B7509B"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1B9C2174"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4FBC1C22"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E9018A4"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790E590A"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367AD270"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20E7EBA1"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C474A4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4B2F8FE1" w14:textId="77777777" w:rsidR="00BC0114" w:rsidRDefault="00BC0114" w:rsidP="00BC0114">
      <w:pPr>
        <w:framePr w:hSpace="180" w:wrap="around" w:vAnchor="text" w:hAnchor="margin" w:x="108" w:y="120"/>
        <w:spacing w:before="40" w:after="40"/>
        <w:jc w:val="both"/>
        <w:rPr>
          <w:b/>
        </w:rPr>
      </w:pPr>
    </w:p>
    <w:tbl>
      <w:tblPr>
        <w:tblW w:w="9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07"/>
        <w:gridCol w:w="807"/>
        <w:gridCol w:w="808"/>
        <w:gridCol w:w="807"/>
        <w:gridCol w:w="808"/>
        <w:gridCol w:w="807"/>
        <w:gridCol w:w="808"/>
        <w:gridCol w:w="807"/>
        <w:gridCol w:w="808"/>
        <w:gridCol w:w="807"/>
        <w:gridCol w:w="808"/>
      </w:tblGrid>
      <w:tr w:rsidR="00BC0114" w:rsidRPr="00D53318" w14:paraId="071D1FDB" w14:textId="77777777" w:rsidTr="002D5FA9">
        <w:trPr>
          <w:tblHeader/>
        </w:trPr>
        <w:tc>
          <w:tcPr>
            <w:tcW w:w="538" w:type="dxa"/>
            <w:shd w:val="clear" w:color="auto" w:fill="E0E0E0"/>
            <w:vAlign w:val="center"/>
          </w:tcPr>
          <w:p w14:paraId="7AAF815A" w14:textId="77777777" w:rsidR="00BC0114" w:rsidRPr="00D53318" w:rsidRDefault="00BC0114" w:rsidP="00BC0114">
            <w:pPr>
              <w:pStyle w:val="QuestionHeader2"/>
              <w:numPr>
                <w:ilvl w:val="0"/>
                <w:numId w:val="38"/>
              </w:numPr>
              <w:tabs>
                <w:tab w:val="num" w:pos="574"/>
              </w:tabs>
              <w:spacing w:before="40" w:after="40" w:line="360" w:lineRule="auto"/>
              <w:rPr>
                <w:rFonts w:ascii="Arial" w:hAnsi="Arial" w:cs="Arial"/>
                <w:sz w:val="20"/>
                <w:szCs w:val="20"/>
              </w:rPr>
            </w:pPr>
          </w:p>
        </w:tc>
        <w:tc>
          <w:tcPr>
            <w:tcW w:w="8882" w:type="dxa"/>
            <w:gridSpan w:val="11"/>
            <w:shd w:val="clear" w:color="auto" w:fill="E0E0E0"/>
            <w:vAlign w:val="center"/>
          </w:tcPr>
          <w:p w14:paraId="3A025900" w14:textId="77777777" w:rsidR="00BC0114" w:rsidRDefault="00BC0114"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how happy did you feel yesterday</w:t>
            </w:r>
            <w:r w:rsidRPr="00D53318">
              <w:rPr>
                <w:b/>
              </w:rPr>
              <w:t>?</w:t>
            </w:r>
            <w:r>
              <w:rPr>
                <w:b/>
              </w:rPr>
              <w:t xml:space="preserve"> </w:t>
            </w:r>
            <w:r w:rsidRPr="00D53318">
              <w:rPr>
                <w:i/>
              </w:rPr>
              <w:t xml:space="preserve">Tick one </w:t>
            </w:r>
          </w:p>
        </w:tc>
      </w:tr>
      <w:tr w:rsidR="00BC0114" w:rsidRPr="00D53318" w:rsidDel="00DC6327" w14:paraId="60B932A7" w14:textId="77777777" w:rsidTr="002D5FA9">
        <w:trPr>
          <w:trHeight w:val="329"/>
        </w:trPr>
        <w:tc>
          <w:tcPr>
            <w:tcW w:w="538" w:type="dxa"/>
            <w:vMerge w:val="restart"/>
            <w:vAlign w:val="center"/>
          </w:tcPr>
          <w:p w14:paraId="035BD9A6" w14:textId="77777777" w:rsidR="00BC0114" w:rsidRPr="00D53318" w:rsidRDefault="00BC0114" w:rsidP="002D5FA9">
            <w:pPr>
              <w:spacing w:before="40" w:after="40" w:line="360" w:lineRule="auto"/>
              <w:rPr>
                <w:b/>
                <w:bCs/>
              </w:rPr>
            </w:pPr>
          </w:p>
        </w:tc>
        <w:tc>
          <w:tcPr>
            <w:tcW w:w="807" w:type="dxa"/>
            <w:vAlign w:val="center"/>
          </w:tcPr>
          <w:p w14:paraId="75B9548C" w14:textId="77777777" w:rsidR="00BC0114" w:rsidRPr="003F5E04" w:rsidRDefault="00BC0114" w:rsidP="002D5FA9">
            <w:pPr>
              <w:spacing w:before="40" w:after="40" w:line="360" w:lineRule="auto"/>
              <w:jc w:val="center"/>
              <w:rPr>
                <w:b/>
              </w:rPr>
            </w:pPr>
            <w:r w:rsidRPr="003F5E04">
              <w:rPr>
                <w:b/>
              </w:rPr>
              <w:t>0</w:t>
            </w:r>
          </w:p>
        </w:tc>
        <w:tc>
          <w:tcPr>
            <w:tcW w:w="807" w:type="dxa"/>
            <w:vAlign w:val="center"/>
          </w:tcPr>
          <w:p w14:paraId="61ED753F" w14:textId="77777777" w:rsidR="00BC0114" w:rsidRPr="003F5E04" w:rsidRDefault="00BC0114" w:rsidP="002D5FA9">
            <w:pPr>
              <w:spacing w:before="40" w:after="40" w:line="360" w:lineRule="auto"/>
              <w:jc w:val="center"/>
              <w:rPr>
                <w:b/>
              </w:rPr>
            </w:pPr>
            <w:r w:rsidRPr="003F5E04">
              <w:rPr>
                <w:b/>
              </w:rPr>
              <w:t>1</w:t>
            </w:r>
          </w:p>
        </w:tc>
        <w:tc>
          <w:tcPr>
            <w:tcW w:w="808" w:type="dxa"/>
            <w:vAlign w:val="center"/>
          </w:tcPr>
          <w:p w14:paraId="6DB7CB6C" w14:textId="77777777" w:rsidR="00BC0114" w:rsidRPr="003F5E04" w:rsidRDefault="00BC0114" w:rsidP="002D5FA9">
            <w:pPr>
              <w:spacing w:before="40" w:after="40" w:line="360" w:lineRule="auto"/>
              <w:jc w:val="center"/>
              <w:rPr>
                <w:b/>
              </w:rPr>
            </w:pPr>
            <w:r w:rsidRPr="003F5E04">
              <w:rPr>
                <w:b/>
              </w:rPr>
              <w:t>2</w:t>
            </w:r>
          </w:p>
        </w:tc>
        <w:tc>
          <w:tcPr>
            <w:tcW w:w="807" w:type="dxa"/>
            <w:vAlign w:val="center"/>
          </w:tcPr>
          <w:p w14:paraId="3F03F0C3" w14:textId="77777777" w:rsidR="00BC0114" w:rsidRPr="003F5E04" w:rsidRDefault="00BC0114" w:rsidP="002D5FA9">
            <w:pPr>
              <w:spacing w:before="40" w:after="40" w:line="360" w:lineRule="auto"/>
              <w:jc w:val="center"/>
              <w:rPr>
                <w:b/>
              </w:rPr>
            </w:pPr>
            <w:r w:rsidRPr="003F5E04">
              <w:rPr>
                <w:b/>
              </w:rPr>
              <w:t>3</w:t>
            </w:r>
          </w:p>
        </w:tc>
        <w:tc>
          <w:tcPr>
            <w:tcW w:w="808" w:type="dxa"/>
            <w:vAlign w:val="center"/>
          </w:tcPr>
          <w:p w14:paraId="15382C81" w14:textId="77777777" w:rsidR="00BC0114" w:rsidRPr="003F5E04" w:rsidRDefault="00BC0114" w:rsidP="002D5FA9">
            <w:pPr>
              <w:spacing w:before="40" w:after="40" w:line="360" w:lineRule="auto"/>
              <w:jc w:val="center"/>
              <w:rPr>
                <w:b/>
              </w:rPr>
            </w:pPr>
            <w:r w:rsidRPr="003F5E04">
              <w:rPr>
                <w:b/>
              </w:rPr>
              <w:t>4</w:t>
            </w:r>
          </w:p>
        </w:tc>
        <w:tc>
          <w:tcPr>
            <w:tcW w:w="807" w:type="dxa"/>
            <w:vAlign w:val="center"/>
          </w:tcPr>
          <w:p w14:paraId="2710052A" w14:textId="77777777" w:rsidR="00BC0114" w:rsidRPr="00730069" w:rsidRDefault="00BC0114" w:rsidP="002D5FA9">
            <w:pPr>
              <w:spacing w:before="40" w:after="40" w:line="360" w:lineRule="auto"/>
              <w:jc w:val="center"/>
              <w:rPr>
                <w:b/>
              </w:rPr>
            </w:pPr>
            <w:r w:rsidRPr="00730069">
              <w:rPr>
                <w:b/>
              </w:rPr>
              <w:t>5</w:t>
            </w:r>
          </w:p>
        </w:tc>
        <w:tc>
          <w:tcPr>
            <w:tcW w:w="808" w:type="dxa"/>
            <w:vAlign w:val="center"/>
          </w:tcPr>
          <w:p w14:paraId="2CA2EDDB" w14:textId="77777777" w:rsidR="00BC0114" w:rsidRPr="00730069" w:rsidRDefault="00BC0114" w:rsidP="002D5FA9">
            <w:pPr>
              <w:spacing w:before="40" w:after="40" w:line="360" w:lineRule="auto"/>
              <w:jc w:val="center"/>
              <w:rPr>
                <w:b/>
              </w:rPr>
            </w:pPr>
            <w:r w:rsidRPr="00730069">
              <w:rPr>
                <w:b/>
              </w:rPr>
              <w:t>6</w:t>
            </w:r>
          </w:p>
        </w:tc>
        <w:tc>
          <w:tcPr>
            <w:tcW w:w="807" w:type="dxa"/>
            <w:vAlign w:val="center"/>
          </w:tcPr>
          <w:p w14:paraId="018BBCFC" w14:textId="77777777" w:rsidR="00BC0114" w:rsidRPr="00730069" w:rsidRDefault="00BC0114" w:rsidP="002D5FA9">
            <w:pPr>
              <w:spacing w:before="40" w:after="40" w:line="360" w:lineRule="auto"/>
              <w:jc w:val="center"/>
              <w:rPr>
                <w:b/>
              </w:rPr>
            </w:pPr>
            <w:r w:rsidRPr="00730069">
              <w:rPr>
                <w:b/>
              </w:rPr>
              <w:t>7</w:t>
            </w:r>
          </w:p>
        </w:tc>
        <w:tc>
          <w:tcPr>
            <w:tcW w:w="808" w:type="dxa"/>
            <w:vAlign w:val="center"/>
          </w:tcPr>
          <w:p w14:paraId="68DDBB87" w14:textId="77777777" w:rsidR="00BC0114" w:rsidRPr="00730069" w:rsidRDefault="00BC0114" w:rsidP="002D5FA9">
            <w:pPr>
              <w:spacing w:before="40" w:after="40" w:line="360" w:lineRule="auto"/>
              <w:jc w:val="center"/>
              <w:rPr>
                <w:b/>
              </w:rPr>
            </w:pPr>
            <w:r w:rsidRPr="00730069">
              <w:rPr>
                <w:b/>
              </w:rPr>
              <w:t>8</w:t>
            </w:r>
          </w:p>
        </w:tc>
        <w:tc>
          <w:tcPr>
            <w:tcW w:w="807" w:type="dxa"/>
            <w:vAlign w:val="center"/>
          </w:tcPr>
          <w:p w14:paraId="1D701BCA" w14:textId="77777777" w:rsidR="00BC0114" w:rsidRPr="00730069" w:rsidRDefault="00BC0114" w:rsidP="002D5FA9">
            <w:pPr>
              <w:spacing w:before="40" w:after="40" w:line="360" w:lineRule="auto"/>
              <w:jc w:val="center"/>
              <w:rPr>
                <w:b/>
              </w:rPr>
            </w:pPr>
            <w:r w:rsidRPr="00730069">
              <w:rPr>
                <w:b/>
              </w:rPr>
              <w:t>9</w:t>
            </w:r>
          </w:p>
        </w:tc>
        <w:tc>
          <w:tcPr>
            <w:tcW w:w="808" w:type="dxa"/>
            <w:vAlign w:val="center"/>
          </w:tcPr>
          <w:p w14:paraId="70E6C8FB" w14:textId="77777777" w:rsidR="00BC0114" w:rsidRPr="00730069" w:rsidRDefault="00BC0114" w:rsidP="002D5FA9">
            <w:pPr>
              <w:spacing w:before="40" w:after="40" w:line="360" w:lineRule="auto"/>
              <w:jc w:val="center"/>
              <w:rPr>
                <w:b/>
              </w:rPr>
            </w:pPr>
            <w:r w:rsidRPr="00730069">
              <w:rPr>
                <w:b/>
              </w:rPr>
              <w:t>10</w:t>
            </w:r>
          </w:p>
        </w:tc>
      </w:tr>
      <w:tr w:rsidR="00BC0114" w:rsidRPr="00D53318" w:rsidDel="00DC6327" w14:paraId="18041119" w14:textId="77777777" w:rsidTr="002D5FA9">
        <w:trPr>
          <w:trHeight w:val="281"/>
        </w:trPr>
        <w:tc>
          <w:tcPr>
            <w:tcW w:w="538" w:type="dxa"/>
            <w:vMerge/>
            <w:vAlign w:val="center"/>
          </w:tcPr>
          <w:p w14:paraId="3BD9190B" w14:textId="77777777" w:rsidR="00BC0114" w:rsidRPr="00D53318" w:rsidRDefault="00BC0114" w:rsidP="002D5FA9">
            <w:pPr>
              <w:spacing w:before="40" w:after="40" w:line="360" w:lineRule="auto"/>
              <w:rPr>
                <w:b/>
                <w:bCs/>
              </w:rPr>
            </w:pPr>
          </w:p>
        </w:tc>
        <w:tc>
          <w:tcPr>
            <w:tcW w:w="807" w:type="dxa"/>
            <w:vAlign w:val="center"/>
          </w:tcPr>
          <w:p w14:paraId="12A295D0"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025A05BD"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529AC77A"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16E3666C"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2CDCF236"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3344C534"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04E2F95"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02846337"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2BDEE0AA"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205DAFA1"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4527841C"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6F10A746" w14:textId="77777777" w:rsidR="00BC0114" w:rsidRDefault="00BC0114" w:rsidP="00AE785D">
      <w:pPr>
        <w:pStyle w:val="BodyText-parastyle"/>
        <w:rPr>
          <w:rStyle w:val="Strong"/>
        </w:rPr>
      </w:pPr>
    </w:p>
    <w:tbl>
      <w:tblPr>
        <w:tblpPr w:leftFromText="180" w:rightFromText="180" w:vertAnchor="text" w:horzAnchor="margin" w:tblpX="93" w:tblpY="12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25"/>
        <w:gridCol w:w="807"/>
        <w:gridCol w:w="808"/>
        <w:gridCol w:w="807"/>
        <w:gridCol w:w="808"/>
        <w:gridCol w:w="807"/>
        <w:gridCol w:w="808"/>
        <w:gridCol w:w="807"/>
        <w:gridCol w:w="808"/>
        <w:gridCol w:w="807"/>
        <w:gridCol w:w="808"/>
      </w:tblGrid>
      <w:tr w:rsidR="00BC0114" w:rsidRPr="00D53318" w14:paraId="08BC363A" w14:textId="77777777" w:rsidTr="002D5FA9">
        <w:trPr>
          <w:tblHeader/>
        </w:trPr>
        <w:tc>
          <w:tcPr>
            <w:tcW w:w="572" w:type="dxa"/>
            <w:shd w:val="clear" w:color="auto" w:fill="E0E0E0"/>
            <w:vAlign w:val="center"/>
          </w:tcPr>
          <w:p w14:paraId="6CEE154C" w14:textId="77777777" w:rsidR="00BC0114" w:rsidRPr="00D53318" w:rsidRDefault="00BC0114" w:rsidP="00BC0114">
            <w:pPr>
              <w:pStyle w:val="QuestionHeader2"/>
              <w:numPr>
                <w:ilvl w:val="0"/>
                <w:numId w:val="38"/>
              </w:numPr>
              <w:tabs>
                <w:tab w:val="num" w:pos="574"/>
              </w:tabs>
              <w:spacing w:before="40" w:after="40" w:line="360" w:lineRule="auto"/>
              <w:rPr>
                <w:rFonts w:ascii="Arial" w:hAnsi="Arial" w:cs="Arial"/>
                <w:sz w:val="20"/>
                <w:szCs w:val="20"/>
              </w:rPr>
            </w:pPr>
          </w:p>
        </w:tc>
        <w:tc>
          <w:tcPr>
            <w:tcW w:w="9000" w:type="dxa"/>
            <w:gridSpan w:val="11"/>
            <w:shd w:val="clear" w:color="auto" w:fill="E0E0E0"/>
            <w:vAlign w:val="center"/>
          </w:tcPr>
          <w:p w14:paraId="04B401F8" w14:textId="77777777" w:rsidR="00BC0114" w:rsidRDefault="00BC0114"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how anxious did you feel yesterday</w:t>
            </w:r>
            <w:r w:rsidRPr="00D53318">
              <w:rPr>
                <w:b/>
              </w:rPr>
              <w:t>?</w:t>
            </w:r>
            <w:r>
              <w:rPr>
                <w:b/>
              </w:rPr>
              <w:t xml:space="preserve"> </w:t>
            </w:r>
            <w:r w:rsidRPr="00D53318">
              <w:rPr>
                <w:i/>
              </w:rPr>
              <w:t xml:space="preserve">Tick one </w:t>
            </w:r>
          </w:p>
        </w:tc>
      </w:tr>
      <w:tr w:rsidR="00BC0114" w:rsidRPr="00D53318" w:rsidDel="00DC6327" w14:paraId="1102DD99" w14:textId="77777777" w:rsidTr="002D5FA9">
        <w:trPr>
          <w:trHeight w:val="329"/>
        </w:trPr>
        <w:tc>
          <w:tcPr>
            <w:tcW w:w="572" w:type="dxa"/>
            <w:vMerge w:val="restart"/>
            <w:vAlign w:val="center"/>
          </w:tcPr>
          <w:p w14:paraId="37790C36" w14:textId="77777777" w:rsidR="00BC0114" w:rsidRPr="00D53318" w:rsidRDefault="00BC0114" w:rsidP="002D5FA9">
            <w:pPr>
              <w:spacing w:before="40" w:after="40" w:line="360" w:lineRule="auto"/>
              <w:rPr>
                <w:b/>
                <w:bCs/>
              </w:rPr>
            </w:pPr>
          </w:p>
        </w:tc>
        <w:tc>
          <w:tcPr>
            <w:tcW w:w="925" w:type="dxa"/>
            <w:vAlign w:val="center"/>
          </w:tcPr>
          <w:p w14:paraId="39D655D9" w14:textId="77777777" w:rsidR="00BC0114" w:rsidRPr="003F5E04" w:rsidRDefault="00BC0114" w:rsidP="002D5FA9">
            <w:pPr>
              <w:spacing w:before="40" w:after="40" w:line="360" w:lineRule="auto"/>
              <w:jc w:val="center"/>
              <w:rPr>
                <w:b/>
              </w:rPr>
            </w:pPr>
            <w:r w:rsidRPr="003F5E04">
              <w:rPr>
                <w:b/>
              </w:rPr>
              <w:t>0</w:t>
            </w:r>
          </w:p>
        </w:tc>
        <w:tc>
          <w:tcPr>
            <w:tcW w:w="807" w:type="dxa"/>
            <w:vAlign w:val="center"/>
          </w:tcPr>
          <w:p w14:paraId="6EA844B0" w14:textId="77777777" w:rsidR="00BC0114" w:rsidRPr="003F5E04" w:rsidRDefault="00BC0114" w:rsidP="002D5FA9">
            <w:pPr>
              <w:spacing w:before="40" w:after="40" w:line="360" w:lineRule="auto"/>
              <w:jc w:val="center"/>
              <w:rPr>
                <w:b/>
              </w:rPr>
            </w:pPr>
            <w:r w:rsidRPr="003F5E04">
              <w:rPr>
                <w:b/>
              </w:rPr>
              <w:t>1</w:t>
            </w:r>
          </w:p>
        </w:tc>
        <w:tc>
          <w:tcPr>
            <w:tcW w:w="808" w:type="dxa"/>
            <w:vAlign w:val="center"/>
          </w:tcPr>
          <w:p w14:paraId="4860127E" w14:textId="77777777" w:rsidR="00BC0114" w:rsidRPr="003F5E04" w:rsidRDefault="00BC0114" w:rsidP="002D5FA9">
            <w:pPr>
              <w:spacing w:before="40" w:after="40" w:line="360" w:lineRule="auto"/>
              <w:jc w:val="center"/>
              <w:rPr>
                <w:b/>
              </w:rPr>
            </w:pPr>
            <w:r w:rsidRPr="003F5E04">
              <w:rPr>
                <w:b/>
              </w:rPr>
              <w:t>2</w:t>
            </w:r>
          </w:p>
        </w:tc>
        <w:tc>
          <w:tcPr>
            <w:tcW w:w="807" w:type="dxa"/>
            <w:vAlign w:val="center"/>
          </w:tcPr>
          <w:p w14:paraId="28B23DAC" w14:textId="77777777" w:rsidR="00BC0114" w:rsidRPr="003F5E04" w:rsidRDefault="00BC0114" w:rsidP="002D5FA9">
            <w:pPr>
              <w:spacing w:before="40" w:after="40" w:line="360" w:lineRule="auto"/>
              <w:jc w:val="center"/>
              <w:rPr>
                <w:b/>
              </w:rPr>
            </w:pPr>
            <w:r w:rsidRPr="003F5E04">
              <w:rPr>
                <w:b/>
              </w:rPr>
              <w:t>3</w:t>
            </w:r>
          </w:p>
        </w:tc>
        <w:tc>
          <w:tcPr>
            <w:tcW w:w="808" w:type="dxa"/>
            <w:vAlign w:val="center"/>
          </w:tcPr>
          <w:p w14:paraId="58F4B76A" w14:textId="77777777" w:rsidR="00BC0114" w:rsidRPr="003F5E04" w:rsidRDefault="00BC0114" w:rsidP="002D5FA9">
            <w:pPr>
              <w:spacing w:before="40" w:after="40" w:line="360" w:lineRule="auto"/>
              <w:jc w:val="center"/>
              <w:rPr>
                <w:b/>
              </w:rPr>
            </w:pPr>
            <w:r w:rsidRPr="003F5E04">
              <w:rPr>
                <w:b/>
              </w:rPr>
              <w:t>4</w:t>
            </w:r>
          </w:p>
        </w:tc>
        <w:tc>
          <w:tcPr>
            <w:tcW w:w="807" w:type="dxa"/>
            <w:vAlign w:val="center"/>
          </w:tcPr>
          <w:p w14:paraId="3F2D45BC" w14:textId="77777777" w:rsidR="00BC0114" w:rsidRPr="00730069" w:rsidRDefault="00BC0114" w:rsidP="002D5FA9">
            <w:pPr>
              <w:spacing w:before="40" w:after="40" w:line="360" w:lineRule="auto"/>
              <w:jc w:val="center"/>
              <w:rPr>
                <w:b/>
              </w:rPr>
            </w:pPr>
            <w:r w:rsidRPr="00730069">
              <w:rPr>
                <w:b/>
              </w:rPr>
              <w:t>5</w:t>
            </w:r>
          </w:p>
        </w:tc>
        <w:tc>
          <w:tcPr>
            <w:tcW w:w="808" w:type="dxa"/>
            <w:vAlign w:val="center"/>
          </w:tcPr>
          <w:p w14:paraId="46D90A2C" w14:textId="77777777" w:rsidR="00BC0114" w:rsidRPr="00730069" w:rsidRDefault="00BC0114" w:rsidP="002D5FA9">
            <w:pPr>
              <w:spacing w:before="40" w:after="40" w:line="360" w:lineRule="auto"/>
              <w:jc w:val="center"/>
              <w:rPr>
                <w:b/>
              </w:rPr>
            </w:pPr>
            <w:r w:rsidRPr="00730069">
              <w:rPr>
                <w:b/>
              </w:rPr>
              <w:t>6</w:t>
            </w:r>
          </w:p>
        </w:tc>
        <w:tc>
          <w:tcPr>
            <w:tcW w:w="807" w:type="dxa"/>
            <w:vAlign w:val="center"/>
          </w:tcPr>
          <w:p w14:paraId="0F6821C3" w14:textId="77777777" w:rsidR="00BC0114" w:rsidRPr="00730069" w:rsidRDefault="00BC0114" w:rsidP="002D5FA9">
            <w:pPr>
              <w:spacing w:before="40" w:after="40" w:line="360" w:lineRule="auto"/>
              <w:jc w:val="center"/>
              <w:rPr>
                <w:b/>
              </w:rPr>
            </w:pPr>
            <w:r w:rsidRPr="00730069">
              <w:rPr>
                <w:b/>
              </w:rPr>
              <w:t>7</w:t>
            </w:r>
          </w:p>
        </w:tc>
        <w:tc>
          <w:tcPr>
            <w:tcW w:w="808" w:type="dxa"/>
            <w:vAlign w:val="center"/>
          </w:tcPr>
          <w:p w14:paraId="28E3FF45" w14:textId="77777777" w:rsidR="00BC0114" w:rsidRPr="00730069" w:rsidRDefault="00BC0114" w:rsidP="002D5FA9">
            <w:pPr>
              <w:spacing w:before="40" w:after="40" w:line="360" w:lineRule="auto"/>
              <w:jc w:val="center"/>
              <w:rPr>
                <w:b/>
              </w:rPr>
            </w:pPr>
            <w:r w:rsidRPr="00730069">
              <w:rPr>
                <w:b/>
              </w:rPr>
              <w:t>8</w:t>
            </w:r>
          </w:p>
        </w:tc>
        <w:tc>
          <w:tcPr>
            <w:tcW w:w="807" w:type="dxa"/>
            <w:vAlign w:val="center"/>
          </w:tcPr>
          <w:p w14:paraId="4DC4D434" w14:textId="77777777" w:rsidR="00BC0114" w:rsidRPr="00730069" w:rsidRDefault="00BC0114" w:rsidP="002D5FA9">
            <w:pPr>
              <w:spacing w:before="40" w:after="40" w:line="360" w:lineRule="auto"/>
              <w:jc w:val="center"/>
              <w:rPr>
                <w:b/>
              </w:rPr>
            </w:pPr>
            <w:r w:rsidRPr="00730069">
              <w:rPr>
                <w:b/>
              </w:rPr>
              <w:t>9</w:t>
            </w:r>
          </w:p>
        </w:tc>
        <w:tc>
          <w:tcPr>
            <w:tcW w:w="808" w:type="dxa"/>
            <w:vAlign w:val="center"/>
          </w:tcPr>
          <w:p w14:paraId="130DBC70" w14:textId="77777777" w:rsidR="00BC0114" w:rsidRPr="00730069" w:rsidRDefault="00BC0114" w:rsidP="002D5FA9">
            <w:pPr>
              <w:spacing w:before="40" w:after="40" w:line="360" w:lineRule="auto"/>
              <w:jc w:val="center"/>
              <w:rPr>
                <w:b/>
              </w:rPr>
            </w:pPr>
            <w:r w:rsidRPr="00730069">
              <w:rPr>
                <w:b/>
              </w:rPr>
              <w:t>10</w:t>
            </w:r>
          </w:p>
        </w:tc>
      </w:tr>
      <w:tr w:rsidR="00BC0114" w:rsidRPr="00D53318" w:rsidDel="00DC6327" w14:paraId="1F5D28A0" w14:textId="77777777" w:rsidTr="002D5FA9">
        <w:trPr>
          <w:trHeight w:val="281"/>
        </w:trPr>
        <w:tc>
          <w:tcPr>
            <w:tcW w:w="572" w:type="dxa"/>
            <w:vMerge/>
            <w:vAlign w:val="center"/>
          </w:tcPr>
          <w:p w14:paraId="35FBDFF2" w14:textId="77777777" w:rsidR="00BC0114" w:rsidRPr="00D53318" w:rsidRDefault="00BC0114" w:rsidP="002D5FA9">
            <w:pPr>
              <w:spacing w:before="40" w:after="40" w:line="360" w:lineRule="auto"/>
              <w:rPr>
                <w:b/>
                <w:bCs/>
              </w:rPr>
            </w:pPr>
          </w:p>
        </w:tc>
        <w:tc>
          <w:tcPr>
            <w:tcW w:w="925" w:type="dxa"/>
            <w:vAlign w:val="center"/>
          </w:tcPr>
          <w:p w14:paraId="1ACB0495"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797B8E69"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14133A86"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40B8DB34"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0EBE4065" w14:textId="77777777" w:rsidR="00BC0114" w:rsidRPr="00730069" w:rsidRDefault="00BC0114"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33B928C0"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615D2138"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4CD04885"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6D7AF4B9"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210B5851" w14:textId="77777777" w:rsidR="00BC0114" w:rsidRPr="00730069" w:rsidRDefault="00BC0114"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4B47DFAF"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53EC32C1" w14:textId="77777777" w:rsidR="00BC0114" w:rsidRDefault="00BC0114" w:rsidP="00AE785D">
      <w:pPr>
        <w:pStyle w:val="BodyText-parastyle"/>
        <w:rPr>
          <w:rStyle w:val="Strong"/>
          <w:b w:val="0"/>
        </w:rPr>
      </w:pPr>
    </w:p>
    <w:p w14:paraId="2763EB89" w14:textId="77777777" w:rsidR="00BC0114" w:rsidRDefault="00BC0114" w:rsidP="00BC0114">
      <w:pPr>
        <w:spacing w:before="0" w:after="0" w:line="240" w:lineRule="auto"/>
        <w:rPr>
          <w:rStyle w:val="Strong"/>
          <w:rFonts w:eastAsia="Times New Roman"/>
          <w:b w:val="0"/>
          <w:color w:val="17365D" w:themeColor="text2" w:themeShade="BF"/>
          <w:szCs w:val="24"/>
          <w:lang w:val="en-GB" w:eastAsia="en-GB"/>
        </w:rPr>
      </w:pPr>
      <w:r>
        <w:rPr>
          <w:rStyle w:val="Strong"/>
          <w:b w:val="0"/>
        </w:rPr>
        <w:br w:type="page"/>
      </w:r>
    </w:p>
    <w:p w14:paraId="3F4F9CF1" w14:textId="77777777" w:rsidR="00BC0114" w:rsidRPr="00097707" w:rsidRDefault="00BC0114" w:rsidP="00AE785D">
      <w:pPr>
        <w:pStyle w:val="BodyText-parastylebold"/>
        <w:rPr>
          <w:rStyle w:val="Strong"/>
          <w:b/>
        </w:rPr>
      </w:pPr>
      <w:r w:rsidRPr="00097707">
        <w:rPr>
          <w:rStyle w:val="Strong"/>
          <w:b/>
        </w:rPr>
        <w:t>Health and Wellbeing Outcomes</w:t>
      </w:r>
    </w:p>
    <w:p w14:paraId="6C44AFE7" w14:textId="77777777" w:rsidR="00BC0114" w:rsidRPr="00BC0114" w:rsidRDefault="00BC0114" w:rsidP="00AE785D">
      <w:pPr>
        <w:pStyle w:val="BodyText-parastyle"/>
      </w:pPr>
      <w:r w:rsidRPr="00BC0114">
        <w:t>Primary Outcomes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BC0114" w:rsidRPr="000963D4" w14:paraId="1561BE4A" w14:textId="77777777" w:rsidTr="002D5FA9">
        <w:trPr>
          <w:trHeight w:val="296"/>
          <w:tblHeader/>
        </w:trPr>
        <w:tc>
          <w:tcPr>
            <w:tcW w:w="281" w:type="pct"/>
            <w:shd w:val="clear" w:color="auto" w:fill="E0E0E0"/>
            <w:vAlign w:val="center"/>
          </w:tcPr>
          <w:p w14:paraId="221D0F68" w14:textId="77777777" w:rsidR="00BC0114" w:rsidRPr="000963D4" w:rsidRDefault="00BC0114" w:rsidP="00BC0114">
            <w:pPr>
              <w:widowControl/>
              <w:numPr>
                <w:ilvl w:val="0"/>
                <w:numId w:val="38"/>
              </w:numPr>
              <w:tabs>
                <w:tab w:val="num" w:pos="1364"/>
              </w:tabs>
              <w:spacing w:after="200" w:line="480" w:lineRule="auto"/>
              <w:jc w:val="both"/>
              <w:rPr>
                <w:b/>
              </w:rPr>
            </w:pPr>
          </w:p>
        </w:tc>
        <w:tc>
          <w:tcPr>
            <w:tcW w:w="4719" w:type="pct"/>
            <w:gridSpan w:val="2"/>
            <w:shd w:val="clear" w:color="auto" w:fill="E0E0E0"/>
            <w:vAlign w:val="center"/>
          </w:tcPr>
          <w:p w14:paraId="4FE4BE34" w14:textId="77777777" w:rsidR="00BC0114" w:rsidRPr="000963D4" w:rsidRDefault="00BC0114" w:rsidP="002D5FA9">
            <w:pPr>
              <w:spacing w:after="60" w:line="480" w:lineRule="auto"/>
              <w:jc w:val="both"/>
              <w:rPr>
                <w:b/>
                <w:szCs w:val="24"/>
                <w:lang w:val="en-IE"/>
              </w:rPr>
            </w:pPr>
            <w:r w:rsidRPr="002C2DD6">
              <w:rPr>
                <w:b/>
                <w:szCs w:val="24"/>
                <w:lang w:val="en-IE"/>
              </w:rPr>
              <w:t>Primary care</w:t>
            </w:r>
            <w:r w:rsidRPr="00322C09">
              <w:rPr>
                <w:b/>
                <w:szCs w:val="24"/>
                <w:lang w:val="en-IE"/>
              </w:rPr>
              <w:t xml:space="preserve"> </w:t>
            </w:r>
            <w:r>
              <w:rPr>
                <w:b/>
                <w:szCs w:val="24"/>
                <w:lang w:val="en-IE"/>
              </w:rPr>
              <w:t xml:space="preserve">-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BC0114" w:rsidRPr="000963D4" w:rsidDel="00DC6327" w14:paraId="5F9D81AC" w14:textId="77777777" w:rsidTr="002D5FA9">
        <w:trPr>
          <w:trHeight w:val="454"/>
        </w:trPr>
        <w:tc>
          <w:tcPr>
            <w:tcW w:w="281" w:type="pct"/>
            <w:vMerge w:val="restart"/>
            <w:vAlign w:val="center"/>
          </w:tcPr>
          <w:p w14:paraId="61CDD7DA"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30DE9E2A" w14:textId="77777777" w:rsidR="00BC0114" w:rsidRPr="002C2DD6" w:rsidRDefault="00BC0114" w:rsidP="002D5FA9">
            <w:pPr>
              <w:pStyle w:val="TableParagraph"/>
              <w:spacing w:line="480" w:lineRule="auto"/>
            </w:pPr>
            <w:r w:rsidRPr="002C2DD6">
              <w:t xml:space="preserve">How many </w:t>
            </w:r>
            <w:r w:rsidRPr="00065371">
              <w:rPr>
                <w:b/>
              </w:rPr>
              <w:t>hours</w:t>
            </w:r>
            <w:r w:rsidRPr="002C2DD6">
              <w:t xml:space="preserve"> have you spent with your GP</w:t>
            </w:r>
          </w:p>
        </w:tc>
        <w:tc>
          <w:tcPr>
            <w:tcW w:w="1764" w:type="pct"/>
            <w:vAlign w:val="center"/>
          </w:tcPr>
          <w:p w14:paraId="67666E2C" w14:textId="77777777" w:rsidR="00BC0114" w:rsidRPr="000963D4" w:rsidDel="00DC6327"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1F3E3544" w14:textId="77777777" w:rsidTr="002D5FA9">
        <w:trPr>
          <w:trHeight w:val="454"/>
        </w:trPr>
        <w:tc>
          <w:tcPr>
            <w:tcW w:w="281" w:type="pct"/>
            <w:vMerge/>
            <w:vAlign w:val="center"/>
          </w:tcPr>
          <w:p w14:paraId="38848EB5"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50638CD2" w14:textId="77777777" w:rsidR="00BC0114" w:rsidRPr="002C2DD6" w:rsidRDefault="00BC0114" w:rsidP="002D5FA9">
            <w:pPr>
              <w:pStyle w:val="TableParagraph"/>
              <w:spacing w:line="480" w:lineRule="auto"/>
            </w:pPr>
            <w:r w:rsidRPr="002C2DD6">
              <w:t xml:space="preserve">How many </w:t>
            </w:r>
            <w:r w:rsidRPr="00065371">
              <w:rPr>
                <w:b/>
              </w:rPr>
              <w:t>prescriptions</w:t>
            </w:r>
            <w:r w:rsidRPr="002C2DD6">
              <w:t xml:space="preserve"> for medication have you received from your GP</w:t>
            </w:r>
          </w:p>
        </w:tc>
        <w:tc>
          <w:tcPr>
            <w:tcW w:w="1764" w:type="pct"/>
            <w:vAlign w:val="center"/>
          </w:tcPr>
          <w:p w14:paraId="161E30AE" w14:textId="77777777" w:rsidR="00BC0114" w:rsidRPr="000963D4"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5A2FC860" w14:textId="77777777" w:rsidTr="002D5FA9">
        <w:trPr>
          <w:trHeight w:val="454"/>
        </w:trPr>
        <w:tc>
          <w:tcPr>
            <w:tcW w:w="281" w:type="pct"/>
            <w:vMerge/>
            <w:vAlign w:val="center"/>
          </w:tcPr>
          <w:p w14:paraId="308E3211"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5A239123" w14:textId="77777777" w:rsidR="00BC0114" w:rsidRPr="002C2DD6" w:rsidRDefault="00BC0114" w:rsidP="002D5FA9">
            <w:pPr>
              <w:pStyle w:val="TableParagraph"/>
              <w:spacing w:line="480" w:lineRule="auto"/>
            </w:pPr>
            <w:r w:rsidRPr="002C2DD6">
              <w:t xml:space="preserve">How many </w:t>
            </w:r>
            <w:r w:rsidRPr="00065371">
              <w:rPr>
                <w:b/>
              </w:rPr>
              <w:t xml:space="preserve">hours </w:t>
            </w:r>
            <w:r w:rsidRPr="002C2DD6">
              <w:t xml:space="preserve">of Counselling services have you received </w:t>
            </w:r>
          </w:p>
        </w:tc>
        <w:tc>
          <w:tcPr>
            <w:tcW w:w="1764" w:type="pct"/>
            <w:vAlign w:val="center"/>
          </w:tcPr>
          <w:p w14:paraId="2183D930" w14:textId="77777777" w:rsidR="00BC0114" w:rsidRPr="000963D4"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16A05AB2" w14:textId="77777777" w:rsidTr="002D5FA9">
        <w:trPr>
          <w:trHeight w:val="454"/>
        </w:trPr>
        <w:tc>
          <w:tcPr>
            <w:tcW w:w="281" w:type="pct"/>
            <w:vMerge/>
            <w:vAlign w:val="center"/>
          </w:tcPr>
          <w:p w14:paraId="7626DEB7"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4C3B1C7F" w14:textId="77777777" w:rsidR="00BC0114" w:rsidRPr="002C2DD6" w:rsidRDefault="00BC0114" w:rsidP="002D5FA9">
            <w:pPr>
              <w:pStyle w:val="TableParagraph"/>
              <w:spacing w:line="480" w:lineRule="auto"/>
            </w:pPr>
            <w:r w:rsidRPr="002C2DD6">
              <w:t>How many</w:t>
            </w:r>
            <w:r w:rsidRPr="00065371">
              <w:rPr>
                <w:b/>
              </w:rPr>
              <w:t xml:space="preserve"> times</w:t>
            </w:r>
            <w:r w:rsidRPr="002C2DD6">
              <w:t xml:space="preserve"> have you attended Mental </w:t>
            </w:r>
            <w:r>
              <w:t>Health support in the community</w:t>
            </w:r>
          </w:p>
        </w:tc>
        <w:tc>
          <w:tcPr>
            <w:tcW w:w="1764" w:type="pct"/>
            <w:vAlign w:val="center"/>
          </w:tcPr>
          <w:p w14:paraId="12C12475" w14:textId="77777777" w:rsidR="00BC0114" w:rsidRPr="001B6155" w:rsidRDefault="00BC0114"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20C42F5D" w14:textId="77777777" w:rsidR="00BC0114" w:rsidRDefault="00BC0114" w:rsidP="00AE785D">
      <w:pPr>
        <w:pStyle w:val="BodyText-parastyl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BC0114" w:rsidRPr="000963D4" w14:paraId="521BE562" w14:textId="77777777" w:rsidTr="002D5FA9">
        <w:trPr>
          <w:trHeight w:val="296"/>
          <w:tblHeader/>
        </w:trPr>
        <w:tc>
          <w:tcPr>
            <w:tcW w:w="281" w:type="pct"/>
            <w:shd w:val="clear" w:color="auto" w:fill="E0E0E0"/>
            <w:vAlign w:val="center"/>
          </w:tcPr>
          <w:p w14:paraId="2159CE51" w14:textId="77777777" w:rsidR="00BC0114" w:rsidRPr="000963D4" w:rsidRDefault="00BC0114" w:rsidP="00BC0114">
            <w:pPr>
              <w:widowControl/>
              <w:numPr>
                <w:ilvl w:val="0"/>
                <w:numId w:val="38"/>
              </w:numPr>
              <w:tabs>
                <w:tab w:val="num" w:pos="1364"/>
              </w:tabs>
              <w:spacing w:after="200" w:line="480" w:lineRule="auto"/>
              <w:jc w:val="both"/>
              <w:rPr>
                <w:b/>
              </w:rPr>
            </w:pPr>
          </w:p>
        </w:tc>
        <w:tc>
          <w:tcPr>
            <w:tcW w:w="4719" w:type="pct"/>
            <w:gridSpan w:val="2"/>
            <w:shd w:val="clear" w:color="auto" w:fill="E0E0E0"/>
            <w:vAlign w:val="center"/>
          </w:tcPr>
          <w:p w14:paraId="0D4CB080" w14:textId="77777777" w:rsidR="00BC0114" w:rsidRPr="000963D4" w:rsidRDefault="00BC0114" w:rsidP="002D5FA9">
            <w:pPr>
              <w:spacing w:after="60" w:line="480" w:lineRule="auto"/>
              <w:jc w:val="both"/>
              <w:rPr>
                <w:b/>
                <w:szCs w:val="24"/>
                <w:lang w:val="en-IE"/>
              </w:rPr>
            </w:pPr>
            <w:r>
              <w:rPr>
                <w:b/>
                <w:szCs w:val="24"/>
                <w:lang w:val="en-IE"/>
              </w:rPr>
              <w:t xml:space="preserve">Hospital / Secondary Care -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BC0114" w:rsidRPr="000963D4" w:rsidDel="00DC6327" w14:paraId="3B803672" w14:textId="77777777" w:rsidTr="002D5FA9">
        <w:trPr>
          <w:trHeight w:val="454"/>
        </w:trPr>
        <w:tc>
          <w:tcPr>
            <w:tcW w:w="281" w:type="pct"/>
            <w:vMerge w:val="restart"/>
            <w:vAlign w:val="center"/>
          </w:tcPr>
          <w:p w14:paraId="133BB400"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74751DD7" w14:textId="77777777" w:rsidR="00BC0114" w:rsidRPr="00B86061" w:rsidRDefault="00BC0114" w:rsidP="002D5FA9">
            <w:pPr>
              <w:spacing w:before="0" w:after="0" w:line="480" w:lineRule="auto"/>
              <w:ind w:left="360" w:hanging="360"/>
            </w:pPr>
            <w:r w:rsidRPr="00B86061">
              <w:t xml:space="preserve">How </w:t>
            </w:r>
            <w:r w:rsidRPr="00065371">
              <w:rPr>
                <w:b/>
              </w:rPr>
              <w:t>often</w:t>
            </w:r>
            <w:r w:rsidRPr="00B86061">
              <w:t xml:space="preserve"> have you attended A&amp;E</w:t>
            </w:r>
            <w:r>
              <w:t xml:space="preserve"> </w:t>
            </w:r>
          </w:p>
        </w:tc>
        <w:tc>
          <w:tcPr>
            <w:tcW w:w="1764" w:type="pct"/>
            <w:vAlign w:val="center"/>
          </w:tcPr>
          <w:p w14:paraId="4C06CA00" w14:textId="77777777" w:rsidR="00BC0114" w:rsidRPr="000963D4" w:rsidDel="00DC6327"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7D3C17A7" w14:textId="77777777" w:rsidTr="002D5FA9">
        <w:trPr>
          <w:trHeight w:val="454"/>
        </w:trPr>
        <w:tc>
          <w:tcPr>
            <w:tcW w:w="281" w:type="pct"/>
            <w:vMerge/>
            <w:vAlign w:val="center"/>
          </w:tcPr>
          <w:p w14:paraId="40B58217"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0E4C7B8F" w14:textId="77777777" w:rsidR="00BC0114" w:rsidRPr="00B86061" w:rsidRDefault="00BC0114" w:rsidP="002D5FA9">
            <w:pPr>
              <w:spacing w:before="0" w:after="0" w:line="480" w:lineRule="auto"/>
              <w:ind w:left="360" w:hanging="360"/>
            </w:pPr>
            <w:r>
              <w:t xml:space="preserve">How </w:t>
            </w:r>
            <w:r w:rsidRPr="00065371">
              <w:rPr>
                <w:b/>
              </w:rPr>
              <w:t>many</w:t>
            </w:r>
            <w:r>
              <w:t xml:space="preserve"> outpatient appointments have you attended</w:t>
            </w:r>
            <w:r>
              <w:rPr>
                <w:rStyle w:val="FootnoteReference"/>
              </w:rPr>
              <w:footnoteReference w:id="137"/>
            </w:r>
          </w:p>
        </w:tc>
        <w:tc>
          <w:tcPr>
            <w:tcW w:w="1764" w:type="pct"/>
            <w:vAlign w:val="center"/>
          </w:tcPr>
          <w:p w14:paraId="272CD034" w14:textId="77777777" w:rsidR="00BC0114" w:rsidRPr="000963D4"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0C098C53" w14:textId="77777777" w:rsidTr="002D5FA9">
        <w:trPr>
          <w:trHeight w:val="485"/>
        </w:trPr>
        <w:tc>
          <w:tcPr>
            <w:tcW w:w="281" w:type="pct"/>
            <w:vMerge/>
            <w:vAlign w:val="center"/>
          </w:tcPr>
          <w:p w14:paraId="05646DCA" w14:textId="77777777" w:rsidR="00BC0114" w:rsidRPr="000963D4" w:rsidRDefault="00BC0114" w:rsidP="002D5FA9">
            <w:pPr>
              <w:spacing w:before="120" w:after="120" w:line="480" w:lineRule="auto"/>
              <w:jc w:val="both"/>
              <w:rPr>
                <w:b/>
                <w:bCs/>
                <w:szCs w:val="24"/>
                <w:lang w:val="en-IE"/>
              </w:rPr>
            </w:pPr>
          </w:p>
        </w:tc>
        <w:tc>
          <w:tcPr>
            <w:tcW w:w="4719" w:type="pct"/>
            <w:gridSpan w:val="2"/>
            <w:vAlign w:val="center"/>
          </w:tcPr>
          <w:p w14:paraId="78D48544" w14:textId="77777777" w:rsidR="00BC0114" w:rsidRPr="000963D4" w:rsidRDefault="00BC0114" w:rsidP="002D5FA9">
            <w:pPr>
              <w:spacing w:before="120" w:after="120" w:line="480" w:lineRule="auto"/>
              <w:rPr>
                <w:b/>
                <w:szCs w:val="24"/>
                <w:lang w:val="en-IE"/>
              </w:rPr>
            </w:pPr>
            <w:r>
              <w:t xml:space="preserve">How many </w:t>
            </w:r>
            <w:r w:rsidRPr="00065371">
              <w:rPr>
                <w:b/>
              </w:rPr>
              <w:t>times</w:t>
            </w:r>
            <w:r>
              <w:t xml:space="preserve"> have you been admitted to hospital:</w:t>
            </w:r>
          </w:p>
        </w:tc>
      </w:tr>
      <w:tr w:rsidR="00BC0114" w:rsidRPr="000963D4" w14:paraId="584945CD" w14:textId="77777777" w:rsidTr="002D5FA9">
        <w:trPr>
          <w:trHeight w:val="485"/>
        </w:trPr>
        <w:tc>
          <w:tcPr>
            <w:tcW w:w="281" w:type="pct"/>
            <w:vMerge/>
            <w:vAlign w:val="center"/>
          </w:tcPr>
          <w:p w14:paraId="65590120"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228D1293" w14:textId="77777777" w:rsidR="00BC0114" w:rsidRDefault="00BC0114" w:rsidP="002D5FA9">
            <w:pPr>
              <w:spacing w:before="0" w:after="0" w:line="480" w:lineRule="auto"/>
            </w:pPr>
            <w:r>
              <w:t>F</w:t>
            </w:r>
            <w:r w:rsidRPr="002C2DD6">
              <w:t>or a planned procedure</w:t>
            </w:r>
          </w:p>
        </w:tc>
        <w:tc>
          <w:tcPr>
            <w:tcW w:w="1764" w:type="pct"/>
            <w:vAlign w:val="center"/>
          </w:tcPr>
          <w:p w14:paraId="190E651A" w14:textId="77777777" w:rsidR="00BC0114" w:rsidRPr="001B6155" w:rsidRDefault="00BC0114"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BC0114" w:rsidRPr="000963D4" w14:paraId="17D95714" w14:textId="77777777" w:rsidTr="002D5FA9">
        <w:trPr>
          <w:trHeight w:val="731"/>
        </w:trPr>
        <w:tc>
          <w:tcPr>
            <w:tcW w:w="281" w:type="pct"/>
            <w:vMerge/>
            <w:vAlign w:val="center"/>
          </w:tcPr>
          <w:p w14:paraId="0E079B86"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54E6132F" w14:textId="77777777" w:rsidR="00BC0114" w:rsidRDefault="00BC0114" w:rsidP="002D5FA9">
            <w:pPr>
              <w:spacing w:before="0" w:after="0" w:line="480" w:lineRule="auto"/>
            </w:pPr>
            <w:r>
              <w:t xml:space="preserve">As </w:t>
            </w:r>
            <w:r w:rsidRPr="002C2DD6">
              <w:t>a</w:t>
            </w:r>
            <w:r>
              <w:t>n</w:t>
            </w:r>
            <w:r w:rsidRPr="002C2DD6">
              <w:t xml:space="preserve"> emergency (i.e. unplanned)</w:t>
            </w:r>
          </w:p>
        </w:tc>
        <w:tc>
          <w:tcPr>
            <w:tcW w:w="1764" w:type="pct"/>
            <w:vAlign w:val="center"/>
          </w:tcPr>
          <w:p w14:paraId="197AD20F" w14:textId="77777777" w:rsidR="00BC0114" w:rsidRPr="001B6155" w:rsidRDefault="00BC0114"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07EE54A3" w14:textId="77777777" w:rsidR="00BC0114" w:rsidRDefault="00BC0114" w:rsidP="00AE785D">
      <w:pPr>
        <w:pStyle w:val="BodyText-parastyl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BC0114" w:rsidRPr="000963D4" w14:paraId="559802F7" w14:textId="77777777" w:rsidTr="002D5FA9">
        <w:trPr>
          <w:trHeight w:val="296"/>
          <w:tblHeader/>
        </w:trPr>
        <w:tc>
          <w:tcPr>
            <w:tcW w:w="281" w:type="pct"/>
            <w:shd w:val="clear" w:color="auto" w:fill="E0E0E0"/>
            <w:vAlign w:val="center"/>
          </w:tcPr>
          <w:p w14:paraId="5D31B7CC" w14:textId="77777777" w:rsidR="00BC0114" w:rsidRPr="000963D4" w:rsidRDefault="00BC0114" w:rsidP="00BC0114">
            <w:pPr>
              <w:widowControl/>
              <w:numPr>
                <w:ilvl w:val="0"/>
                <w:numId w:val="38"/>
              </w:numPr>
              <w:tabs>
                <w:tab w:val="num" w:pos="1364"/>
              </w:tabs>
              <w:spacing w:after="200" w:line="480" w:lineRule="auto"/>
              <w:jc w:val="both"/>
              <w:rPr>
                <w:b/>
              </w:rPr>
            </w:pPr>
          </w:p>
        </w:tc>
        <w:tc>
          <w:tcPr>
            <w:tcW w:w="4719" w:type="pct"/>
            <w:gridSpan w:val="2"/>
            <w:shd w:val="clear" w:color="auto" w:fill="E0E0E0"/>
            <w:vAlign w:val="center"/>
          </w:tcPr>
          <w:p w14:paraId="5764EAFE" w14:textId="77777777" w:rsidR="00BC0114" w:rsidRPr="000963D4" w:rsidRDefault="00BC0114" w:rsidP="002D5FA9">
            <w:pPr>
              <w:spacing w:after="60" w:line="480" w:lineRule="auto"/>
              <w:jc w:val="both"/>
              <w:rPr>
                <w:b/>
                <w:szCs w:val="24"/>
                <w:lang w:val="en-IE"/>
              </w:rPr>
            </w:pPr>
            <w:r w:rsidRPr="00322C09">
              <w:rPr>
                <w:b/>
                <w:szCs w:val="24"/>
                <w:lang w:val="en-IE"/>
              </w:rPr>
              <w:t>S</w:t>
            </w:r>
            <w:r>
              <w:rPr>
                <w:b/>
                <w:szCs w:val="24"/>
                <w:lang w:val="en-IE"/>
              </w:rPr>
              <w:t>ocial</w:t>
            </w:r>
            <w:r w:rsidRPr="00322C09">
              <w:rPr>
                <w:b/>
                <w:szCs w:val="24"/>
                <w:lang w:val="en-IE"/>
              </w:rPr>
              <w:t xml:space="preserve"> care </w:t>
            </w:r>
            <w:r>
              <w:rPr>
                <w:b/>
                <w:szCs w:val="24"/>
                <w:lang w:val="en-IE"/>
              </w:rPr>
              <w:t xml:space="preserve">-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BC0114" w:rsidRPr="000963D4" w:rsidDel="00DC6327" w14:paraId="511C54EB" w14:textId="77777777" w:rsidTr="002D5FA9">
        <w:trPr>
          <w:trHeight w:val="452"/>
        </w:trPr>
        <w:tc>
          <w:tcPr>
            <w:tcW w:w="281" w:type="pct"/>
            <w:vAlign w:val="center"/>
          </w:tcPr>
          <w:p w14:paraId="43B69EC3" w14:textId="77777777" w:rsidR="00BC0114" w:rsidRPr="000963D4" w:rsidRDefault="00BC0114" w:rsidP="002D5FA9">
            <w:pPr>
              <w:spacing w:before="120" w:after="120" w:line="480" w:lineRule="auto"/>
              <w:jc w:val="both"/>
              <w:rPr>
                <w:b/>
                <w:bCs/>
                <w:szCs w:val="24"/>
                <w:lang w:val="en-IE"/>
              </w:rPr>
            </w:pPr>
          </w:p>
        </w:tc>
        <w:tc>
          <w:tcPr>
            <w:tcW w:w="2955" w:type="pct"/>
            <w:vAlign w:val="center"/>
          </w:tcPr>
          <w:p w14:paraId="4FF5814C" w14:textId="77777777" w:rsidR="00BC0114" w:rsidRPr="00777D82" w:rsidRDefault="00BC0114" w:rsidP="002D5FA9">
            <w:pPr>
              <w:spacing w:line="480" w:lineRule="auto"/>
            </w:pPr>
            <w:r w:rsidRPr="00777D82">
              <w:t xml:space="preserve">How many </w:t>
            </w:r>
            <w:r w:rsidRPr="00065371">
              <w:rPr>
                <w:b/>
              </w:rPr>
              <w:t>hours</w:t>
            </w:r>
            <w:r w:rsidRPr="00777D82">
              <w:t xml:space="preserve"> of support have you received from a social worker</w:t>
            </w:r>
            <w:r>
              <w:t>?</w:t>
            </w:r>
          </w:p>
        </w:tc>
        <w:tc>
          <w:tcPr>
            <w:tcW w:w="1764" w:type="pct"/>
            <w:vAlign w:val="center"/>
          </w:tcPr>
          <w:p w14:paraId="186E0E03" w14:textId="77777777" w:rsidR="00BC0114" w:rsidRPr="000963D4" w:rsidDel="00DC6327" w:rsidRDefault="00BC0114"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46F28E51" w14:textId="77777777" w:rsidR="00BC0114" w:rsidRPr="00BC0114" w:rsidRDefault="00BC0114" w:rsidP="00AE785D">
      <w:pPr>
        <w:pStyle w:val="BodyText-parastyle"/>
      </w:pPr>
      <w:r w:rsidRPr="00BC0114">
        <w:t>Secondary Outcomes</w:t>
      </w:r>
    </w:p>
    <w:p w14:paraId="624A962F" w14:textId="77777777" w:rsidR="00BC0114" w:rsidRPr="00092EF5" w:rsidRDefault="00BC0114" w:rsidP="00AE785D">
      <w:pPr>
        <w:pStyle w:val="BodyText-parastyle"/>
      </w:pPr>
      <w:r w:rsidRPr="00092EF5">
        <w:t>General Health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006"/>
        <w:gridCol w:w="1955"/>
      </w:tblGrid>
      <w:tr w:rsidR="00BC0114" w:rsidRPr="004E34FD" w14:paraId="165B73D7" w14:textId="77777777" w:rsidTr="002D5FA9">
        <w:trPr>
          <w:trHeight w:val="296"/>
          <w:tblHeader/>
        </w:trPr>
        <w:tc>
          <w:tcPr>
            <w:tcW w:w="283" w:type="pct"/>
            <w:shd w:val="clear" w:color="auto" w:fill="E0E0E0"/>
            <w:vAlign w:val="center"/>
          </w:tcPr>
          <w:p w14:paraId="62708454" w14:textId="77777777" w:rsidR="00BC0114" w:rsidRPr="004E34FD" w:rsidRDefault="00BC0114" w:rsidP="00BC0114">
            <w:pPr>
              <w:widowControl/>
              <w:numPr>
                <w:ilvl w:val="0"/>
                <w:numId w:val="38"/>
              </w:numPr>
              <w:tabs>
                <w:tab w:val="num" w:pos="682"/>
              </w:tabs>
              <w:spacing w:before="40" w:after="40" w:line="240" w:lineRule="auto"/>
              <w:jc w:val="both"/>
              <w:rPr>
                <w:b/>
              </w:rPr>
            </w:pPr>
          </w:p>
        </w:tc>
        <w:tc>
          <w:tcPr>
            <w:tcW w:w="4717" w:type="pct"/>
            <w:gridSpan w:val="2"/>
            <w:tcBorders>
              <w:bottom w:val="single" w:sz="4" w:space="0" w:color="auto"/>
            </w:tcBorders>
            <w:shd w:val="clear" w:color="auto" w:fill="E0E0E0"/>
            <w:vAlign w:val="center"/>
          </w:tcPr>
          <w:p w14:paraId="11918301" w14:textId="77777777" w:rsidR="00BC0114" w:rsidRPr="004E34FD" w:rsidRDefault="00BC0114" w:rsidP="002D5FA9">
            <w:pPr>
              <w:spacing w:before="40" w:after="40"/>
              <w:jc w:val="both"/>
              <w:rPr>
                <w:b/>
                <w:szCs w:val="24"/>
                <w:lang w:val="en-IE"/>
              </w:rPr>
            </w:pPr>
            <w:r>
              <w:rPr>
                <w:b/>
                <w:szCs w:val="24"/>
                <w:lang w:val="en-IE"/>
              </w:rPr>
              <w:t>Below</w:t>
            </w:r>
            <w:r w:rsidRPr="00B520CF">
              <w:rPr>
                <w:b/>
                <w:szCs w:val="24"/>
                <w:lang w:val="en-IE"/>
              </w:rPr>
              <w:t xml:space="preserve"> are some simple questions about your health in general. By </w:t>
            </w:r>
            <w:r w:rsidRPr="003F5E04">
              <w:rPr>
                <w:b/>
                <w:szCs w:val="24"/>
                <w:u w:val="single"/>
                <w:lang w:val="en-IE"/>
              </w:rPr>
              <w:t xml:space="preserve">ticking one answer in each group </w:t>
            </w:r>
            <w:r w:rsidRPr="00B520CF">
              <w:rPr>
                <w:b/>
                <w:szCs w:val="24"/>
                <w:lang w:val="en-IE"/>
              </w:rPr>
              <w:t>below, please indicate which statements best describe your own health state TODAY</w:t>
            </w:r>
            <w:r>
              <w:rPr>
                <w:rStyle w:val="FootnoteReference"/>
                <w:b/>
                <w:szCs w:val="24"/>
                <w:lang w:val="en-IE"/>
              </w:rPr>
              <w:footnoteReference w:id="138"/>
            </w:r>
            <w:r w:rsidRPr="00B520CF">
              <w:rPr>
                <w:b/>
                <w:szCs w:val="24"/>
                <w:lang w:val="en-IE"/>
              </w:rPr>
              <w:t xml:space="preserve"> </w:t>
            </w:r>
          </w:p>
        </w:tc>
      </w:tr>
      <w:tr w:rsidR="00BC0114" w:rsidRPr="004E34FD" w:rsidDel="00DC6327" w14:paraId="62E395FC" w14:textId="77777777" w:rsidTr="002D5FA9">
        <w:tc>
          <w:tcPr>
            <w:tcW w:w="283" w:type="pct"/>
            <w:vMerge w:val="restart"/>
            <w:vAlign w:val="center"/>
          </w:tcPr>
          <w:p w14:paraId="4D77B49B"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04586C50" w14:textId="77777777" w:rsidR="00BC0114" w:rsidRPr="000B0E9F" w:rsidRDefault="00BC0114" w:rsidP="002D5FA9">
            <w:pPr>
              <w:spacing w:before="0" w:after="0" w:line="240" w:lineRule="auto"/>
              <w:rPr>
                <w:rFonts w:eastAsia="Times New Roman"/>
                <w:b/>
                <w:lang w:val="en-GB" w:eastAsia="en-GB"/>
              </w:rPr>
            </w:pPr>
            <w:r w:rsidRPr="000B0E9F">
              <w:rPr>
                <w:rFonts w:eastAsia="Times New Roman"/>
                <w:b/>
                <w:lang w:val="en-GB" w:eastAsia="en-GB"/>
              </w:rPr>
              <w:t>Mobility</w:t>
            </w:r>
          </w:p>
        </w:tc>
        <w:tc>
          <w:tcPr>
            <w:tcW w:w="1029" w:type="pct"/>
            <w:tcBorders>
              <w:left w:val="single" w:sz="4" w:space="0" w:color="auto"/>
            </w:tcBorders>
            <w:shd w:val="clear" w:color="auto" w:fill="F2F2F2" w:themeFill="background1" w:themeFillShade="F2"/>
            <w:vAlign w:val="center"/>
          </w:tcPr>
          <w:p w14:paraId="4F3FEFE9" w14:textId="77777777" w:rsidR="00BC0114" w:rsidRPr="000B0E9F" w:rsidDel="00DC6327" w:rsidRDefault="00BC0114" w:rsidP="002D5FA9">
            <w:pPr>
              <w:spacing w:before="120" w:after="120"/>
              <w:jc w:val="center"/>
              <w:rPr>
                <w:b/>
                <w:szCs w:val="24"/>
                <w:lang w:val="en-IE"/>
              </w:rPr>
            </w:pPr>
            <w:r w:rsidRPr="000B0E9F">
              <w:rPr>
                <w:b/>
                <w:szCs w:val="24"/>
                <w:lang w:val="en-IE"/>
              </w:rPr>
              <w:t>Please Tick One</w:t>
            </w:r>
          </w:p>
        </w:tc>
      </w:tr>
      <w:tr w:rsidR="00BC0114" w:rsidRPr="004E34FD" w:rsidDel="00DC6327" w14:paraId="37050B8E" w14:textId="77777777" w:rsidTr="002D5FA9">
        <w:tc>
          <w:tcPr>
            <w:tcW w:w="283" w:type="pct"/>
            <w:vMerge/>
            <w:vAlign w:val="center"/>
          </w:tcPr>
          <w:p w14:paraId="4FFDC44E"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5560C36B" w14:textId="77777777" w:rsidR="00BC0114" w:rsidRPr="00097707" w:rsidRDefault="00BC0114" w:rsidP="002D5FA9">
            <w:pPr>
              <w:spacing w:before="0" w:after="0" w:line="240" w:lineRule="auto"/>
              <w:rPr>
                <w:rFonts w:eastAsia="Times New Roman"/>
                <w:lang w:val="en-GB" w:eastAsia="en-GB"/>
              </w:rPr>
            </w:pPr>
            <w:r w:rsidRPr="000B0E9F">
              <w:rPr>
                <w:rFonts w:eastAsia="Times New Roman"/>
                <w:lang w:val="en-GB" w:eastAsia="en-GB"/>
              </w:rPr>
              <w:t>I have no problems in walking about</w:t>
            </w:r>
          </w:p>
        </w:tc>
        <w:tc>
          <w:tcPr>
            <w:tcW w:w="1029" w:type="pct"/>
            <w:tcBorders>
              <w:left w:val="single" w:sz="4" w:space="0" w:color="auto"/>
            </w:tcBorders>
          </w:tcPr>
          <w:p w14:paraId="7C35CCF7" w14:textId="77777777" w:rsidR="00BC0114" w:rsidRPr="004E34FD"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712405A7" w14:textId="77777777" w:rsidTr="002D5FA9">
        <w:tc>
          <w:tcPr>
            <w:tcW w:w="283" w:type="pct"/>
            <w:vMerge/>
            <w:vAlign w:val="center"/>
          </w:tcPr>
          <w:p w14:paraId="579908BF"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24F17023" w14:textId="77777777" w:rsidR="00BC0114" w:rsidRPr="00097707" w:rsidRDefault="00BC0114" w:rsidP="002D5FA9">
            <w:pPr>
              <w:spacing w:before="0" w:after="0" w:line="240" w:lineRule="auto"/>
              <w:rPr>
                <w:rFonts w:eastAsia="Times New Roman"/>
                <w:lang w:val="en-GB" w:eastAsia="en-GB"/>
              </w:rPr>
            </w:pPr>
            <w:r>
              <w:rPr>
                <w:rFonts w:eastAsia="Times New Roman"/>
                <w:lang w:val="en-GB" w:eastAsia="en-GB"/>
              </w:rPr>
              <w:t>I have some</w:t>
            </w:r>
            <w:r w:rsidRPr="000B0E9F">
              <w:rPr>
                <w:rFonts w:eastAsia="Times New Roman"/>
                <w:lang w:val="en-GB" w:eastAsia="en-GB"/>
              </w:rPr>
              <w:t xml:space="preserve"> problems in walking about</w:t>
            </w:r>
          </w:p>
        </w:tc>
        <w:tc>
          <w:tcPr>
            <w:tcW w:w="1029" w:type="pct"/>
            <w:tcBorders>
              <w:left w:val="single" w:sz="4" w:space="0" w:color="auto"/>
            </w:tcBorders>
          </w:tcPr>
          <w:p w14:paraId="5D67C601" w14:textId="77777777" w:rsidR="00BC0114" w:rsidRPr="004E34FD"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3CEE6F8A" w14:textId="77777777" w:rsidTr="002D5FA9">
        <w:tc>
          <w:tcPr>
            <w:tcW w:w="283" w:type="pct"/>
            <w:vMerge/>
            <w:vAlign w:val="center"/>
          </w:tcPr>
          <w:p w14:paraId="0DF9CA16"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42CA6F8E" w14:textId="77777777" w:rsidR="00BC0114" w:rsidRPr="00097707" w:rsidRDefault="00BC0114" w:rsidP="002D5FA9">
            <w:pPr>
              <w:spacing w:before="0" w:after="0" w:line="240" w:lineRule="auto"/>
              <w:rPr>
                <w:rFonts w:eastAsia="Times New Roman"/>
                <w:lang w:val="en-GB" w:eastAsia="en-GB"/>
              </w:rPr>
            </w:pPr>
            <w:r>
              <w:rPr>
                <w:rFonts w:eastAsia="Times New Roman"/>
                <w:lang w:val="en-GB" w:eastAsia="en-GB"/>
              </w:rPr>
              <w:t>I am confined to a bed</w:t>
            </w:r>
          </w:p>
        </w:tc>
        <w:tc>
          <w:tcPr>
            <w:tcW w:w="1029" w:type="pct"/>
            <w:tcBorders>
              <w:left w:val="single" w:sz="4" w:space="0" w:color="auto"/>
            </w:tcBorders>
            <w:vAlign w:val="center"/>
          </w:tcPr>
          <w:p w14:paraId="6B2671F3" w14:textId="77777777" w:rsidR="00BC0114" w:rsidRPr="004E34FD" w:rsidDel="00DC6327"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4AA97A34" w14:textId="77777777" w:rsidTr="002D5FA9">
        <w:tc>
          <w:tcPr>
            <w:tcW w:w="283" w:type="pct"/>
            <w:vMerge/>
            <w:vAlign w:val="center"/>
          </w:tcPr>
          <w:p w14:paraId="2239C924"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1DE632E9" w14:textId="77777777" w:rsidR="00BC0114" w:rsidRPr="00097707" w:rsidRDefault="00BC0114" w:rsidP="002D5FA9">
            <w:pPr>
              <w:spacing w:before="0" w:after="0" w:line="240" w:lineRule="auto"/>
              <w:rPr>
                <w:rFonts w:eastAsia="Times New Roman"/>
                <w:lang w:val="en-GB" w:eastAsia="en-GB"/>
              </w:rPr>
            </w:pPr>
            <w:r>
              <w:rPr>
                <w:rFonts w:eastAsia="Times New Roman"/>
                <w:b/>
                <w:lang w:val="en-GB" w:eastAsia="en-GB"/>
              </w:rPr>
              <w:t>Self-Care</w:t>
            </w:r>
          </w:p>
        </w:tc>
        <w:tc>
          <w:tcPr>
            <w:tcW w:w="1029" w:type="pct"/>
            <w:tcBorders>
              <w:left w:val="single" w:sz="4" w:space="0" w:color="auto"/>
            </w:tcBorders>
            <w:shd w:val="clear" w:color="auto" w:fill="F2F2F2" w:themeFill="background1" w:themeFillShade="F2"/>
            <w:vAlign w:val="center"/>
          </w:tcPr>
          <w:p w14:paraId="233BDD67" w14:textId="77777777" w:rsidR="00BC0114" w:rsidRPr="004E34FD" w:rsidRDefault="00BC0114" w:rsidP="002D5FA9">
            <w:pPr>
              <w:spacing w:before="120" w:after="120"/>
              <w:jc w:val="center"/>
              <w:rPr>
                <w:b/>
                <w:szCs w:val="24"/>
                <w:lang w:val="en-IE"/>
              </w:rPr>
            </w:pPr>
            <w:r w:rsidRPr="000B0E9F">
              <w:rPr>
                <w:b/>
                <w:szCs w:val="24"/>
                <w:lang w:val="en-IE"/>
              </w:rPr>
              <w:t>Please Tick One</w:t>
            </w:r>
          </w:p>
        </w:tc>
      </w:tr>
      <w:tr w:rsidR="00BC0114" w:rsidRPr="004E34FD" w14:paraId="182F3723" w14:textId="77777777" w:rsidTr="002D5FA9">
        <w:tc>
          <w:tcPr>
            <w:tcW w:w="283" w:type="pct"/>
            <w:vMerge/>
            <w:vAlign w:val="center"/>
          </w:tcPr>
          <w:p w14:paraId="62C20929"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48E655CB" w14:textId="77777777" w:rsidR="00BC0114" w:rsidRPr="00097707" w:rsidRDefault="00BC0114" w:rsidP="002D5FA9">
            <w:pPr>
              <w:spacing w:before="0" w:after="0" w:line="240" w:lineRule="auto"/>
              <w:rPr>
                <w:rFonts w:eastAsia="Times New Roman"/>
                <w:lang w:val="en-GB" w:eastAsia="en-GB"/>
              </w:rPr>
            </w:pPr>
            <w:r>
              <w:rPr>
                <w:rFonts w:eastAsia="Times New Roman"/>
                <w:lang w:val="en-GB" w:eastAsia="en-GB"/>
              </w:rPr>
              <w:t>I have no problems with self-care</w:t>
            </w:r>
          </w:p>
        </w:tc>
        <w:tc>
          <w:tcPr>
            <w:tcW w:w="1029" w:type="pct"/>
            <w:tcBorders>
              <w:left w:val="single" w:sz="4" w:space="0" w:color="auto"/>
            </w:tcBorders>
          </w:tcPr>
          <w:p w14:paraId="477615CD" w14:textId="77777777" w:rsidR="00BC0114" w:rsidRPr="004E34FD"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408D4AE8" w14:textId="77777777" w:rsidTr="002D5FA9">
        <w:tc>
          <w:tcPr>
            <w:tcW w:w="283" w:type="pct"/>
            <w:vMerge/>
            <w:vAlign w:val="center"/>
          </w:tcPr>
          <w:p w14:paraId="6662EF23"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7C7CFF1B" w14:textId="77777777" w:rsidR="00BC0114" w:rsidRPr="00097707" w:rsidRDefault="00BC0114" w:rsidP="002D5FA9">
            <w:pPr>
              <w:spacing w:before="0" w:after="0" w:line="240" w:lineRule="auto"/>
              <w:rPr>
                <w:rFonts w:eastAsia="Times New Roman"/>
                <w:lang w:val="en-GB" w:eastAsia="en-GB"/>
              </w:rPr>
            </w:pPr>
            <w:r>
              <w:rPr>
                <w:rFonts w:eastAsia="Times New Roman"/>
                <w:lang w:val="en-GB" w:eastAsia="en-GB"/>
              </w:rPr>
              <w:t>I have some problems washing or dressing myself</w:t>
            </w:r>
          </w:p>
        </w:tc>
        <w:tc>
          <w:tcPr>
            <w:tcW w:w="1029" w:type="pct"/>
            <w:tcBorders>
              <w:left w:val="single" w:sz="4" w:space="0" w:color="auto"/>
            </w:tcBorders>
          </w:tcPr>
          <w:p w14:paraId="6253B681" w14:textId="77777777" w:rsidR="00BC0114" w:rsidRPr="004E34FD"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5EF828CB" w14:textId="77777777" w:rsidTr="002D5FA9">
        <w:tc>
          <w:tcPr>
            <w:tcW w:w="283" w:type="pct"/>
            <w:vMerge/>
            <w:vAlign w:val="center"/>
          </w:tcPr>
          <w:p w14:paraId="077F6A2C"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3E18BCD4" w14:textId="77777777" w:rsidR="00BC0114" w:rsidRPr="00097707" w:rsidRDefault="00BC0114" w:rsidP="002D5FA9">
            <w:pPr>
              <w:spacing w:before="0" w:after="0" w:line="240" w:lineRule="auto"/>
              <w:rPr>
                <w:rFonts w:eastAsia="Times New Roman"/>
                <w:lang w:val="en-GB" w:eastAsia="en-GB"/>
              </w:rPr>
            </w:pPr>
            <w:r>
              <w:rPr>
                <w:rFonts w:eastAsia="Times New Roman"/>
                <w:lang w:val="en-GB" w:eastAsia="en-GB"/>
              </w:rPr>
              <w:t>I am unable to wash or dress myself</w:t>
            </w:r>
          </w:p>
        </w:tc>
        <w:tc>
          <w:tcPr>
            <w:tcW w:w="1029" w:type="pct"/>
            <w:tcBorders>
              <w:left w:val="single" w:sz="4" w:space="0" w:color="auto"/>
            </w:tcBorders>
            <w:vAlign w:val="center"/>
          </w:tcPr>
          <w:p w14:paraId="5610D640" w14:textId="77777777" w:rsidR="00BC0114" w:rsidRPr="004E34FD" w:rsidRDefault="00BC0114"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6D813659" w14:textId="77777777" w:rsidTr="002D5FA9">
        <w:tc>
          <w:tcPr>
            <w:tcW w:w="283" w:type="pct"/>
            <w:vMerge/>
            <w:vAlign w:val="center"/>
          </w:tcPr>
          <w:p w14:paraId="7141E1E3"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0783C21F" w14:textId="77777777" w:rsidR="00BC0114" w:rsidRDefault="00BC0114" w:rsidP="002D5FA9">
            <w:pPr>
              <w:spacing w:before="0" w:after="0" w:line="240" w:lineRule="auto"/>
              <w:rPr>
                <w:rFonts w:eastAsia="Times New Roman"/>
                <w:lang w:val="en-GB" w:eastAsia="en-GB"/>
              </w:rPr>
            </w:pPr>
            <w:r>
              <w:rPr>
                <w:rFonts w:eastAsia="Times New Roman"/>
                <w:b/>
                <w:lang w:val="en-GB" w:eastAsia="en-GB"/>
              </w:rPr>
              <w:t xml:space="preserve">Usual Activities </w:t>
            </w:r>
          </w:p>
        </w:tc>
        <w:tc>
          <w:tcPr>
            <w:tcW w:w="1029" w:type="pct"/>
            <w:tcBorders>
              <w:left w:val="single" w:sz="4" w:space="0" w:color="auto"/>
            </w:tcBorders>
            <w:shd w:val="clear" w:color="auto" w:fill="F2F2F2" w:themeFill="background1" w:themeFillShade="F2"/>
            <w:vAlign w:val="center"/>
          </w:tcPr>
          <w:p w14:paraId="64BACE17" w14:textId="77777777" w:rsidR="00BC0114" w:rsidRPr="004E34FD" w:rsidRDefault="00BC0114" w:rsidP="002D5FA9">
            <w:pPr>
              <w:spacing w:before="120" w:after="120"/>
              <w:jc w:val="center"/>
              <w:rPr>
                <w:b/>
                <w:szCs w:val="24"/>
                <w:lang w:val="en-IE"/>
              </w:rPr>
            </w:pPr>
            <w:r w:rsidRPr="000B0E9F">
              <w:rPr>
                <w:b/>
                <w:szCs w:val="24"/>
                <w:lang w:val="en-IE"/>
              </w:rPr>
              <w:t>Please Tick One</w:t>
            </w:r>
          </w:p>
        </w:tc>
      </w:tr>
      <w:tr w:rsidR="00BC0114" w:rsidRPr="004E34FD" w14:paraId="700C0FAB" w14:textId="77777777" w:rsidTr="002D5FA9">
        <w:tc>
          <w:tcPr>
            <w:tcW w:w="283" w:type="pct"/>
            <w:vMerge/>
            <w:vAlign w:val="center"/>
          </w:tcPr>
          <w:p w14:paraId="110EE70D"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03C294CD" w14:textId="77777777" w:rsidR="00BC0114" w:rsidRDefault="00BC0114" w:rsidP="002D5FA9">
            <w:pPr>
              <w:spacing w:before="0" w:after="0" w:line="240" w:lineRule="auto"/>
              <w:rPr>
                <w:rFonts w:eastAsia="Times New Roman"/>
                <w:lang w:val="en-GB" w:eastAsia="en-GB"/>
              </w:rPr>
            </w:pPr>
            <w:r w:rsidRPr="00843717">
              <w:rPr>
                <w:rFonts w:eastAsia="Times New Roman"/>
                <w:lang w:val="en-GB" w:eastAsia="en-GB"/>
              </w:rPr>
              <w:t xml:space="preserve">I have no problems </w:t>
            </w:r>
            <w:r>
              <w:rPr>
                <w:rFonts w:eastAsia="Times New Roman"/>
                <w:lang w:val="en-GB" w:eastAsia="en-GB"/>
              </w:rPr>
              <w:t>with performing</w:t>
            </w:r>
            <w:r w:rsidRPr="00843717">
              <w:rPr>
                <w:rFonts w:eastAsia="Times New Roman"/>
                <w:lang w:val="en-GB" w:eastAsia="en-GB"/>
              </w:rPr>
              <w:t xml:space="preserve"> my usual activities</w:t>
            </w:r>
            <w:r>
              <w:rPr>
                <w:rFonts w:eastAsia="Times New Roman"/>
                <w:lang w:val="en-GB" w:eastAsia="en-GB"/>
              </w:rPr>
              <w:t xml:space="preserve"> (e.g. work, study, housework, family or leisure activities)</w:t>
            </w:r>
          </w:p>
        </w:tc>
        <w:tc>
          <w:tcPr>
            <w:tcW w:w="1029" w:type="pct"/>
            <w:tcBorders>
              <w:left w:val="single" w:sz="4" w:space="0" w:color="auto"/>
            </w:tcBorders>
          </w:tcPr>
          <w:p w14:paraId="5AD31CFD" w14:textId="77777777" w:rsidR="00BC0114" w:rsidRPr="004E34FD" w:rsidRDefault="00BC0114"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BC0114" w:rsidRPr="004E34FD" w14:paraId="472FADA4" w14:textId="77777777" w:rsidTr="002D5FA9">
        <w:tc>
          <w:tcPr>
            <w:tcW w:w="283" w:type="pct"/>
            <w:vMerge/>
            <w:vAlign w:val="center"/>
          </w:tcPr>
          <w:p w14:paraId="19C1F355"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40A0C00C" w14:textId="77777777" w:rsidR="00BC0114" w:rsidRDefault="00BC0114" w:rsidP="002D5FA9">
            <w:pPr>
              <w:spacing w:before="0" w:after="0" w:line="240" w:lineRule="auto"/>
              <w:rPr>
                <w:rFonts w:eastAsia="Times New Roman"/>
                <w:lang w:val="en-GB" w:eastAsia="en-GB"/>
              </w:rPr>
            </w:pPr>
            <w:r w:rsidRPr="00843717">
              <w:rPr>
                <w:rFonts w:eastAsia="Times New Roman"/>
                <w:lang w:val="en-GB" w:eastAsia="en-GB"/>
              </w:rPr>
              <w:t xml:space="preserve">I </w:t>
            </w:r>
            <w:r>
              <w:rPr>
                <w:rFonts w:eastAsia="Times New Roman"/>
                <w:lang w:val="en-GB" w:eastAsia="en-GB"/>
              </w:rPr>
              <w:t>some</w:t>
            </w:r>
            <w:r w:rsidRPr="00843717">
              <w:rPr>
                <w:rFonts w:eastAsia="Times New Roman"/>
                <w:lang w:val="en-GB" w:eastAsia="en-GB"/>
              </w:rPr>
              <w:t xml:space="preserve"> problems </w:t>
            </w:r>
            <w:r>
              <w:rPr>
                <w:rFonts w:eastAsia="Times New Roman"/>
                <w:lang w:val="en-GB" w:eastAsia="en-GB"/>
              </w:rPr>
              <w:t>with performing</w:t>
            </w:r>
            <w:r w:rsidRPr="00843717">
              <w:rPr>
                <w:rFonts w:eastAsia="Times New Roman"/>
                <w:lang w:val="en-GB" w:eastAsia="en-GB"/>
              </w:rPr>
              <w:t xml:space="preserve"> my usual activities</w:t>
            </w:r>
          </w:p>
        </w:tc>
        <w:tc>
          <w:tcPr>
            <w:tcW w:w="1029" w:type="pct"/>
            <w:tcBorders>
              <w:left w:val="single" w:sz="4" w:space="0" w:color="auto"/>
            </w:tcBorders>
          </w:tcPr>
          <w:p w14:paraId="71F460BA" w14:textId="77777777" w:rsidR="00BC0114" w:rsidRPr="004E34FD" w:rsidRDefault="00BC0114"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BC0114" w:rsidRPr="004E34FD" w14:paraId="1F794241" w14:textId="77777777" w:rsidTr="002D5FA9">
        <w:tc>
          <w:tcPr>
            <w:tcW w:w="283" w:type="pct"/>
            <w:vMerge/>
            <w:vAlign w:val="center"/>
          </w:tcPr>
          <w:p w14:paraId="0B253FFA"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2F1413AB" w14:textId="77777777" w:rsidR="00BC0114" w:rsidRDefault="00BC0114" w:rsidP="002D5FA9">
            <w:pPr>
              <w:spacing w:before="0" w:after="0" w:line="240" w:lineRule="auto"/>
              <w:rPr>
                <w:rFonts w:eastAsia="Times New Roman"/>
                <w:lang w:val="en-GB" w:eastAsia="en-GB"/>
              </w:rPr>
            </w:pPr>
            <w:r w:rsidRPr="00843717">
              <w:rPr>
                <w:rFonts w:eastAsia="Times New Roman"/>
                <w:lang w:val="en-GB" w:eastAsia="en-GB"/>
              </w:rPr>
              <w:t xml:space="preserve">I </w:t>
            </w:r>
            <w:r>
              <w:rPr>
                <w:rFonts w:eastAsia="Times New Roman"/>
                <w:lang w:val="en-GB" w:eastAsia="en-GB"/>
              </w:rPr>
              <w:t>am unable to perform</w:t>
            </w:r>
            <w:r w:rsidRPr="00843717">
              <w:rPr>
                <w:rFonts w:eastAsia="Times New Roman"/>
                <w:lang w:val="en-GB" w:eastAsia="en-GB"/>
              </w:rPr>
              <w:t xml:space="preserve"> my usual activities</w:t>
            </w:r>
          </w:p>
        </w:tc>
        <w:tc>
          <w:tcPr>
            <w:tcW w:w="1029" w:type="pct"/>
            <w:tcBorders>
              <w:left w:val="single" w:sz="4" w:space="0" w:color="auto"/>
            </w:tcBorders>
          </w:tcPr>
          <w:p w14:paraId="3043434A" w14:textId="77777777" w:rsidR="00BC0114" w:rsidRPr="004E34FD" w:rsidRDefault="00BC0114"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BC0114" w:rsidRPr="004E34FD" w14:paraId="65F5E1CB" w14:textId="77777777" w:rsidTr="002D5FA9">
        <w:tc>
          <w:tcPr>
            <w:tcW w:w="283" w:type="pct"/>
            <w:vMerge/>
            <w:vAlign w:val="center"/>
          </w:tcPr>
          <w:p w14:paraId="09EF7F53"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43F4401C" w14:textId="77777777" w:rsidR="00BC0114" w:rsidRDefault="00BC0114" w:rsidP="002D5FA9">
            <w:pPr>
              <w:spacing w:before="0" w:after="0" w:line="240" w:lineRule="auto"/>
              <w:rPr>
                <w:rFonts w:eastAsia="Times New Roman"/>
                <w:lang w:val="en-GB" w:eastAsia="en-GB"/>
              </w:rPr>
            </w:pPr>
            <w:r w:rsidRPr="00843717">
              <w:rPr>
                <w:b/>
                <w:szCs w:val="24"/>
                <w:lang w:val="en-IE"/>
              </w:rPr>
              <w:t>Pain / Discomfort</w:t>
            </w:r>
          </w:p>
        </w:tc>
        <w:tc>
          <w:tcPr>
            <w:tcW w:w="1029" w:type="pct"/>
            <w:tcBorders>
              <w:left w:val="single" w:sz="4" w:space="0" w:color="auto"/>
            </w:tcBorders>
            <w:shd w:val="clear" w:color="auto" w:fill="F2F2F2" w:themeFill="background1" w:themeFillShade="F2"/>
          </w:tcPr>
          <w:p w14:paraId="0C4C4B6A" w14:textId="77777777" w:rsidR="00BC0114" w:rsidRPr="004E34FD" w:rsidRDefault="00BC0114" w:rsidP="002D5FA9">
            <w:pPr>
              <w:spacing w:before="120" w:after="120"/>
              <w:jc w:val="center"/>
              <w:rPr>
                <w:b/>
                <w:szCs w:val="24"/>
                <w:lang w:val="en-IE"/>
              </w:rPr>
            </w:pPr>
            <w:r w:rsidRPr="000B0E9F">
              <w:rPr>
                <w:b/>
                <w:szCs w:val="24"/>
                <w:lang w:val="en-IE"/>
              </w:rPr>
              <w:t>Please Tick One</w:t>
            </w:r>
          </w:p>
        </w:tc>
      </w:tr>
      <w:tr w:rsidR="00BC0114" w:rsidRPr="004E34FD" w14:paraId="71A87087" w14:textId="77777777" w:rsidTr="002D5FA9">
        <w:tc>
          <w:tcPr>
            <w:tcW w:w="283" w:type="pct"/>
            <w:vMerge/>
            <w:vAlign w:val="center"/>
          </w:tcPr>
          <w:p w14:paraId="24E4231B"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5F238E09" w14:textId="77777777" w:rsidR="00BC0114" w:rsidRDefault="00BC0114" w:rsidP="002D5FA9">
            <w:pPr>
              <w:spacing w:before="0" w:after="0" w:line="240" w:lineRule="auto"/>
              <w:rPr>
                <w:rFonts w:eastAsia="Times New Roman"/>
                <w:lang w:val="en-GB" w:eastAsia="en-GB"/>
              </w:rPr>
            </w:pPr>
            <w:r>
              <w:rPr>
                <w:rFonts w:eastAsia="Times New Roman"/>
                <w:lang w:val="en-GB" w:eastAsia="en-GB"/>
              </w:rPr>
              <w:t xml:space="preserve">I have no pain or discomfort </w:t>
            </w:r>
          </w:p>
        </w:tc>
        <w:tc>
          <w:tcPr>
            <w:tcW w:w="1029" w:type="pct"/>
            <w:tcBorders>
              <w:left w:val="single" w:sz="4" w:space="0" w:color="auto"/>
            </w:tcBorders>
          </w:tcPr>
          <w:p w14:paraId="720CD731" w14:textId="77777777" w:rsidR="00BC0114" w:rsidRPr="004E34FD" w:rsidRDefault="00BC0114"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BC0114" w:rsidRPr="004E34FD" w14:paraId="43E2E0A2" w14:textId="77777777" w:rsidTr="002D5FA9">
        <w:tc>
          <w:tcPr>
            <w:tcW w:w="283" w:type="pct"/>
            <w:vMerge/>
            <w:vAlign w:val="center"/>
          </w:tcPr>
          <w:p w14:paraId="65F1E373"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0BAFAF16" w14:textId="77777777" w:rsidR="00BC0114" w:rsidRDefault="00BC0114" w:rsidP="002D5FA9">
            <w:pPr>
              <w:spacing w:before="0" w:after="0" w:line="240" w:lineRule="auto"/>
              <w:rPr>
                <w:rFonts w:eastAsia="Times New Roman"/>
                <w:lang w:val="en-GB" w:eastAsia="en-GB"/>
              </w:rPr>
            </w:pPr>
            <w:r>
              <w:rPr>
                <w:rFonts w:eastAsia="Times New Roman"/>
                <w:lang w:val="en-GB" w:eastAsia="en-GB"/>
              </w:rPr>
              <w:t xml:space="preserve">I have moderate pain or discomfort </w:t>
            </w:r>
          </w:p>
        </w:tc>
        <w:tc>
          <w:tcPr>
            <w:tcW w:w="1029" w:type="pct"/>
            <w:tcBorders>
              <w:left w:val="single" w:sz="4" w:space="0" w:color="auto"/>
            </w:tcBorders>
          </w:tcPr>
          <w:p w14:paraId="6DDC9F94" w14:textId="77777777" w:rsidR="00BC0114" w:rsidRPr="004E34FD" w:rsidRDefault="00BC0114"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BC0114" w:rsidRPr="004E34FD" w14:paraId="14E3BAEE" w14:textId="77777777" w:rsidTr="002D5FA9">
        <w:tc>
          <w:tcPr>
            <w:tcW w:w="283" w:type="pct"/>
            <w:vMerge/>
            <w:vAlign w:val="center"/>
          </w:tcPr>
          <w:p w14:paraId="71D08808"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67FF8B4C" w14:textId="77777777" w:rsidR="00BC0114" w:rsidRDefault="00BC0114" w:rsidP="002D5FA9">
            <w:pPr>
              <w:spacing w:before="0" w:after="0" w:line="240" w:lineRule="auto"/>
              <w:rPr>
                <w:rFonts w:eastAsia="Times New Roman"/>
                <w:lang w:val="en-GB" w:eastAsia="en-GB"/>
              </w:rPr>
            </w:pPr>
            <w:r>
              <w:rPr>
                <w:rFonts w:eastAsia="Times New Roman"/>
                <w:lang w:val="en-GB" w:eastAsia="en-GB"/>
              </w:rPr>
              <w:t xml:space="preserve">I have extreme pain or discomfort </w:t>
            </w:r>
          </w:p>
        </w:tc>
        <w:tc>
          <w:tcPr>
            <w:tcW w:w="1029" w:type="pct"/>
            <w:tcBorders>
              <w:left w:val="single" w:sz="4" w:space="0" w:color="auto"/>
            </w:tcBorders>
          </w:tcPr>
          <w:p w14:paraId="518FCE21" w14:textId="77777777" w:rsidR="00BC0114" w:rsidRPr="004E34FD" w:rsidRDefault="00BC0114"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BC0114" w:rsidRPr="004E34FD" w14:paraId="75418D76" w14:textId="77777777" w:rsidTr="002D5FA9">
        <w:tc>
          <w:tcPr>
            <w:tcW w:w="283" w:type="pct"/>
            <w:vMerge/>
            <w:vAlign w:val="center"/>
          </w:tcPr>
          <w:p w14:paraId="7F87085C"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7A58B1B2" w14:textId="77777777" w:rsidR="00BC0114" w:rsidRDefault="00BC0114" w:rsidP="002D5FA9">
            <w:pPr>
              <w:spacing w:before="0" w:after="0" w:line="240" w:lineRule="auto"/>
              <w:rPr>
                <w:rFonts w:eastAsia="Times New Roman"/>
                <w:lang w:val="en-GB" w:eastAsia="en-GB"/>
              </w:rPr>
            </w:pPr>
            <w:r w:rsidRPr="00843717">
              <w:rPr>
                <w:b/>
                <w:szCs w:val="24"/>
                <w:lang w:val="en-IE"/>
              </w:rPr>
              <w:t>Anxiety / Depression</w:t>
            </w:r>
            <w:r>
              <w:rPr>
                <w:rFonts w:eastAsia="Times New Roman"/>
                <w:lang w:val="en-GB" w:eastAsia="en-GB"/>
              </w:rPr>
              <w:t xml:space="preserve"> </w:t>
            </w:r>
          </w:p>
        </w:tc>
        <w:tc>
          <w:tcPr>
            <w:tcW w:w="1029" w:type="pct"/>
            <w:tcBorders>
              <w:left w:val="single" w:sz="4" w:space="0" w:color="auto"/>
            </w:tcBorders>
            <w:shd w:val="clear" w:color="auto" w:fill="F2F2F2" w:themeFill="background1" w:themeFillShade="F2"/>
          </w:tcPr>
          <w:p w14:paraId="37A5F8AB" w14:textId="77777777" w:rsidR="00BC0114" w:rsidRPr="004E34FD" w:rsidRDefault="00BC0114" w:rsidP="002D5FA9">
            <w:pPr>
              <w:spacing w:before="120" w:after="120"/>
              <w:jc w:val="center"/>
              <w:rPr>
                <w:b/>
                <w:szCs w:val="24"/>
                <w:lang w:val="en-IE"/>
              </w:rPr>
            </w:pPr>
            <w:r w:rsidRPr="000B0E9F">
              <w:rPr>
                <w:b/>
                <w:szCs w:val="24"/>
                <w:lang w:val="en-IE"/>
              </w:rPr>
              <w:t>Please Tick One</w:t>
            </w:r>
          </w:p>
        </w:tc>
      </w:tr>
      <w:tr w:rsidR="00BC0114" w:rsidRPr="004E34FD" w14:paraId="5533AC0C" w14:textId="77777777" w:rsidTr="002D5FA9">
        <w:tc>
          <w:tcPr>
            <w:tcW w:w="283" w:type="pct"/>
            <w:vMerge/>
            <w:vAlign w:val="center"/>
          </w:tcPr>
          <w:p w14:paraId="6EDCE3CC"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2B1BF3BC" w14:textId="77777777" w:rsidR="00BC0114" w:rsidRDefault="00BC0114" w:rsidP="002D5FA9">
            <w:pPr>
              <w:spacing w:before="0" w:after="0" w:line="240" w:lineRule="auto"/>
              <w:rPr>
                <w:rFonts w:eastAsia="Times New Roman"/>
                <w:lang w:val="en-GB" w:eastAsia="en-GB"/>
              </w:rPr>
            </w:pPr>
            <w:r>
              <w:rPr>
                <w:rFonts w:eastAsia="Times New Roman"/>
                <w:lang w:val="en-GB" w:eastAsia="en-GB"/>
              </w:rPr>
              <w:t>I am not anxious or depressed</w:t>
            </w:r>
          </w:p>
        </w:tc>
        <w:tc>
          <w:tcPr>
            <w:tcW w:w="1029" w:type="pct"/>
            <w:tcBorders>
              <w:left w:val="single" w:sz="4" w:space="0" w:color="auto"/>
            </w:tcBorders>
          </w:tcPr>
          <w:p w14:paraId="6A62390E" w14:textId="77777777" w:rsidR="00BC0114" w:rsidRPr="004E34FD" w:rsidRDefault="00BC0114"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r w:rsidR="00BC0114" w:rsidRPr="004E34FD" w14:paraId="10BF078F" w14:textId="77777777" w:rsidTr="002D5FA9">
        <w:tc>
          <w:tcPr>
            <w:tcW w:w="283" w:type="pct"/>
            <w:vMerge/>
            <w:vAlign w:val="center"/>
          </w:tcPr>
          <w:p w14:paraId="3A5C19A8"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7A511EF0" w14:textId="77777777" w:rsidR="00BC0114" w:rsidRDefault="00BC0114" w:rsidP="002D5FA9">
            <w:pPr>
              <w:spacing w:before="0" w:after="0" w:line="240" w:lineRule="auto"/>
              <w:rPr>
                <w:rFonts w:eastAsia="Times New Roman"/>
                <w:lang w:val="en-GB" w:eastAsia="en-GB"/>
              </w:rPr>
            </w:pPr>
            <w:r>
              <w:rPr>
                <w:rFonts w:eastAsia="Times New Roman"/>
                <w:lang w:val="en-GB" w:eastAsia="en-GB"/>
              </w:rPr>
              <w:t>I am moderately anxious or depressed</w:t>
            </w:r>
          </w:p>
        </w:tc>
        <w:tc>
          <w:tcPr>
            <w:tcW w:w="1029" w:type="pct"/>
            <w:tcBorders>
              <w:left w:val="single" w:sz="4" w:space="0" w:color="auto"/>
            </w:tcBorders>
          </w:tcPr>
          <w:p w14:paraId="151CE662" w14:textId="77777777" w:rsidR="00BC0114" w:rsidRPr="004E34FD" w:rsidRDefault="00BC0114"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r w:rsidR="00BC0114" w:rsidRPr="004E34FD" w14:paraId="70328EB9" w14:textId="77777777" w:rsidTr="002D5FA9">
        <w:tc>
          <w:tcPr>
            <w:tcW w:w="283" w:type="pct"/>
            <w:vMerge/>
            <w:vAlign w:val="center"/>
          </w:tcPr>
          <w:p w14:paraId="0B91B725" w14:textId="77777777" w:rsidR="00BC0114" w:rsidRPr="004E34FD" w:rsidRDefault="00BC0114" w:rsidP="002D5FA9">
            <w:pPr>
              <w:spacing w:before="40" w:after="40"/>
              <w:jc w:val="both"/>
              <w:rPr>
                <w:b/>
                <w:bCs/>
                <w:szCs w:val="24"/>
                <w:lang w:val="en-IE"/>
              </w:rPr>
            </w:pPr>
          </w:p>
        </w:tc>
        <w:tc>
          <w:tcPr>
            <w:tcW w:w="3688" w:type="pct"/>
            <w:tcBorders>
              <w:right w:val="single" w:sz="4" w:space="0" w:color="auto"/>
            </w:tcBorders>
            <w:vAlign w:val="center"/>
          </w:tcPr>
          <w:p w14:paraId="702BB0C6" w14:textId="77777777" w:rsidR="00BC0114" w:rsidRDefault="00BC0114" w:rsidP="002D5FA9">
            <w:pPr>
              <w:spacing w:before="0" w:after="0" w:line="240" w:lineRule="auto"/>
              <w:rPr>
                <w:rFonts w:eastAsia="Times New Roman"/>
                <w:lang w:val="en-GB" w:eastAsia="en-GB"/>
              </w:rPr>
            </w:pPr>
            <w:r>
              <w:rPr>
                <w:rFonts w:eastAsia="Times New Roman"/>
                <w:lang w:val="en-GB" w:eastAsia="en-GB"/>
              </w:rPr>
              <w:t>I am extremely anxious or depressed</w:t>
            </w:r>
          </w:p>
        </w:tc>
        <w:tc>
          <w:tcPr>
            <w:tcW w:w="1029" w:type="pct"/>
            <w:tcBorders>
              <w:left w:val="single" w:sz="4" w:space="0" w:color="auto"/>
            </w:tcBorders>
          </w:tcPr>
          <w:p w14:paraId="57298DD2" w14:textId="77777777" w:rsidR="00BC0114" w:rsidRPr="004E34FD" w:rsidRDefault="00BC0114"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bl>
    <w:p w14:paraId="5E9A3C73" w14:textId="77777777" w:rsidR="00BC0114" w:rsidRPr="00982F1E" w:rsidRDefault="00BC0114" w:rsidP="00AE785D">
      <w:pPr>
        <w:pStyle w:val="BodyText-parastyle"/>
      </w:pPr>
      <w:r w:rsidRPr="00092EF5">
        <w:t>Mental Health</w:t>
      </w:r>
      <w:r>
        <w:rPr>
          <w:rStyle w:val="FootnoteReference"/>
        </w:rPr>
        <w:footnoteReference w:id="139"/>
      </w:r>
    </w:p>
    <w:tbl>
      <w:tblPr>
        <w:tblpPr w:leftFromText="180" w:rightFromText="180" w:vertAnchor="text" w:horzAnchor="margin" w:tblpX="98" w:tblpY="120"/>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08"/>
        <w:gridCol w:w="1098"/>
        <w:gridCol w:w="1099"/>
        <w:gridCol w:w="1098"/>
        <w:gridCol w:w="1098"/>
        <w:gridCol w:w="1099"/>
      </w:tblGrid>
      <w:tr w:rsidR="00BC0114" w:rsidRPr="00D53318" w14:paraId="36E76122" w14:textId="77777777" w:rsidTr="002D5FA9">
        <w:trPr>
          <w:tblHeader/>
        </w:trPr>
        <w:tc>
          <w:tcPr>
            <w:tcW w:w="567" w:type="dxa"/>
            <w:shd w:val="clear" w:color="auto" w:fill="E0E0E0"/>
            <w:vAlign w:val="center"/>
          </w:tcPr>
          <w:p w14:paraId="5E0E01AF" w14:textId="77777777" w:rsidR="00BC0114" w:rsidRPr="00D53318" w:rsidRDefault="00BC0114" w:rsidP="00BC0114">
            <w:pPr>
              <w:pStyle w:val="QuestionHeader2"/>
              <w:numPr>
                <w:ilvl w:val="0"/>
                <w:numId w:val="38"/>
              </w:numPr>
              <w:tabs>
                <w:tab w:val="num" w:pos="574"/>
              </w:tabs>
              <w:spacing w:before="40" w:after="40" w:line="360" w:lineRule="auto"/>
              <w:rPr>
                <w:rFonts w:ascii="Arial" w:hAnsi="Arial" w:cs="Arial"/>
                <w:sz w:val="20"/>
                <w:szCs w:val="20"/>
              </w:rPr>
            </w:pPr>
          </w:p>
        </w:tc>
        <w:tc>
          <w:tcPr>
            <w:tcW w:w="9000" w:type="dxa"/>
            <w:gridSpan w:val="6"/>
            <w:shd w:val="clear" w:color="auto" w:fill="E0E0E0"/>
            <w:vAlign w:val="center"/>
          </w:tcPr>
          <w:p w14:paraId="5A6384B8" w14:textId="77777777" w:rsidR="00BC0114" w:rsidRDefault="00BC0114" w:rsidP="002D5FA9">
            <w:pPr>
              <w:spacing w:before="40" w:after="40" w:line="360" w:lineRule="auto"/>
              <w:jc w:val="both"/>
              <w:rPr>
                <w:b/>
              </w:rPr>
            </w:pPr>
            <w:r>
              <w:rPr>
                <w:b/>
              </w:rPr>
              <w:t xml:space="preserve">Below are some statements about feelings and thoughts.  Please tick the box that best describes your experience </w:t>
            </w:r>
            <w:r w:rsidRPr="003F5E04">
              <w:rPr>
                <w:b/>
                <w:u w:val="single"/>
              </w:rPr>
              <w:t>over the last 3 months</w:t>
            </w:r>
            <w:r>
              <w:rPr>
                <w:b/>
              </w:rPr>
              <w:t xml:space="preserve">: </w:t>
            </w:r>
            <w:r w:rsidRPr="00D53318">
              <w:rPr>
                <w:i/>
              </w:rPr>
              <w:t xml:space="preserve">Tick one </w:t>
            </w:r>
            <w:r>
              <w:rPr>
                <w:i/>
              </w:rPr>
              <w:t>on each row</w:t>
            </w:r>
          </w:p>
        </w:tc>
      </w:tr>
      <w:tr w:rsidR="00BC0114" w:rsidRPr="00D53318" w:rsidDel="00DC6327" w14:paraId="0F297D25" w14:textId="77777777" w:rsidTr="002D5FA9">
        <w:trPr>
          <w:trHeight w:val="998"/>
        </w:trPr>
        <w:tc>
          <w:tcPr>
            <w:tcW w:w="567" w:type="dxa"/>
            <w:vMerge w:val="restart"/>
            <w:vAlign w:val="center"/>
          </w:tcPr>
          <w:p w14:paraId="65862A78" w14:textId="77777777" w:rsidR="00BC0114" w:rsidRPr="00D53318" w:rsidRDefault="00BC0114" w:rsidP="002D5FA9">
            <w:pPr>
              <w:spacing w:before="40" w:after="40" w:line="360" w:lineRule="auto"/>
              <w:rPr>
                <w:b/>
                <w:bCs/>
              </w:rPr>
            </w:pPr>
          </w:p>
        </w:tc>
        <w:tc>
          <w:tcPr>
            <w:tcW w:w="3508" w:type="dxa"/>
            <w:vAlign w:val="center"/>
          </w:tcPr>
          <w:p w14:paraId="6718249E" w14:textId="77777777" w:rsidR="00BC0114" w:rsidRPr="00730069" w:rsidRDefault="00BC0114" w:rsidP="002D5FA9">
            <w:pPr>
              <w:spacing w:before="40" w:after="40" w:line="360" w:lineRule="auto"/>
              <w:jc w:val="center"/>
              <w:rPr>
                <w:b/>
              </w:rPr>
            </w:pPr>
            <w:r>
              <w:rPr>
                <w:b/>
              </w:rPr>
              <w:t>Statements</w:t>
            </w:r>
          </w:p>
        </w:tc>
        <w:tc>
          <w:tcPr>
            <w:tcW w:w="1098" w:type="dxa"/>
            <w:vAlign w:val="center"/>
          </w:tcPr>
          <w:p w14:paraId="2441B83D" w14:textId="77777777" w:rsidR="00BC0114" w:rsidRPr="00730069" w:rsidRDefault="00BC0114" w:rsidP="002D5FA9">
            <w:pPr>
              <w:spacing w:before="40" w:after="40" w:line="360" w:lineRule="auto"/>
              <w:jc w:val="center"/>
              <w:rPr>
                <w:b/>
              </w:rPr>
            </w:pPr>
            <w:r>
              <w:rPr>
                <w:b/>
              </w:rPr>
              <w:t>None of the time</w:t>
            </w:r>
          </w:p>
        </w:tc>
        <w:tc>
          <w:tcPr>
            <w:tcW w:w="1099" w:type="dxa"/>
            <w:vAlign w:val="center"/>
          </w:tcPr>
          <w:p w14:paraId="0845B2C9" w14:textId="77777777" w:rsidR="00BC0114" w:rsidRPr="00730069" w:rsidRDefault="00BC0114" w:rsidP="002D5FA9">
            <w:pPr>
              <w:spacing w:before="40" w:after="40" w:line="360" w:lineRule="auto"/>
              <w:jc w:val="center"/>
              <w:rPr>
                <w:b/>
              </w:rPr>
            </w:pPr>
            <w:r>
              <w:rPr>
                <w:b/>
              </w:rPr>
              <w:t>Rarely</w:t>
            </w:r>
          </w:p>
        </w:tc>
        <w:tc>
          <w:tcPr>
            <w:tcW w:w="1098" w:type="dxa"/>
            <w:vAlign w:val="center"/>
          </w:tcPr>
          <w:p w14:paraId="74E88C74" w14:textId="77777777" w:rsidR="00BC0114" w:rsidRPr="00730069" w:rsidRDefault="00BC0114" w:rsidP="002D5FA9">
            <w:pPr>
              <w:spacing w:before="40" w:after="40" w:line="360" w:lineRule="auto"/>
              <w:jc w:val="center"/>
              <w:rPr>
                <w:b/>
              </w:rPr>
            </w:pPr>
            <w:r>
              <w:rPr>
                <w:b/>
              </w:rPr>
              <w:t>Some of the time</w:t>
            </w:r>
          </w:p>
        </w:tc>
        <w:tc>
          <w:tcPr>
            <w:tcW w:w="1098" w:type="dxa"/>
            <w:vAlign w:val="center"/>
          </w:tcPr>
          <w:p w14:paraId="18612A44" w14:textId="77777777" w:rsidR="00BC0114" w:rsidRPr="00730069" w:rsidRDefault="00BC0114" w:rsidP="002D5FA9">
            <w:pPr>
              <w:spacing w:before="40" w:after="40" w:line="360" w:lineRule="auto"/>
              <w:jc w:val="center"/>
              <w:rPr>
                <w:b/>
              </w:rPr>
            </w:pPr>
            <w:r>
              <w:rPr>
                <w:b/>
              </w:rPr>
              <w:t>Often</w:t>
            </w:r>
          </w:p>
        </w:tc>
        <w:tc>
          <w:tcPr>
            <w:tcW w:w="1099" w:type="dxa"/>
            <w:vAlign w:val="center"/>
          </w:tcPr>
          <w:p w14:paraId="629F2A60" w14:textId="77777777" w:rsidR="00BC0114" w:rsidRPr="00730069" w:rsidRDefault="00BC0114" w:rsidP="002D5FA9">
            <w:pPr>
              <w:spacing w:before="40" w:after="40" w:line="360" w:lineRule="auto"/>
              <w:jc w:val="center"/>
              <w:rPr>
                <w:b/>
              </w:rPr>
            </w:pPr>
            <w:r>
              <w:rPr>
                <w:b/>
              </w:rPr>
              <w:t>All of the time</w:t>
            </w:r>
          </w:p>
        </w:tc>
      </w:tr>
      <w:tr w:rsidR="00BC0114" w:rsidRPr="00D53318" w:rsidDel="00DC6327" w14:paraId="3B20F76A" w14:textId="77777777" w:rsidTr="002D5FA9">
        <w:trPr>
          <w:trHeight w:val="281"/>
        </w:trPr>
        <w:tc>
          <w:tcPr>
            <w:tcW w:w="567" w:type="dxa"/>
            <w:vMerge/>
            <w:vAlign w:val="center"/>
          </w:tcPr>
          <w:p w14:paraId="45B2A6DE" w14:textId="77777777" w:rsidR="00BC0114" w:rsidRPr="00D53318" w:rsidRDefault="00BC0114" w:rsidP="002D5FA9">
            <w:pPr>
              <w:spacing w:before="40" w:after="40" w:line="360" w:lineRule="auto"/>
              <w:rPr>
                <w:b/>
                <w:bCs/>
              </w:rPr>
            </w:pPr>
          </w:p>
        </w:tc>
        <w:tc>
          <w:tcPr>
            <w:tcW w:w="3508" w:type="dxa"/>
          </w:tcPr>
          <w:p w14:paraId="71B875DA" w14:textId="77777777" w:rsidR="00BC0114" w:rsidRPr="00982F1E" w:rsidRDefault="00BC0114" w:rsidP="002D5FA9">
            <w:pPr>
              <w:spacing w:before="40" w:after="40" w:line="360" w:lineRule="auto"/>
              <w:rPr>
                <w:bCs/>
                <w:lang w:val="en-IE"/>
              </w:rPr>
            </w:pPr>
            <w:r w:rsidRPr="00982F1E">
              <w:rPr>
                <w:bCs/>
                <w:lang w:val="en-IE"/>
              </w:rPr>
              <w:t>I’ve been feeling optimistic about the future</w:t>
            </w:r>
          </w:p>
        </w:tc>
        <w:tc>
          <w:tcPr>
            <w:tcW w:w="1098" w:type="dxa"/>
            <w:vAlign w:val="center"/>
          </w:tcPr>
          <w:p w14:paraId="4C8E18EA"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025EB86E"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06D60B4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5C7ABEC4"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6BF5433A"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1467EF99" w14:textId="77777777" w:rsidTr="002D5FA9">
        <w:trPr>
          <w:trHeight w:val="281"/>
        </w:trPr>
        <w:tc>
          <w:tcPr>
            <w:tcW w:w="567" w:type="dxa"/>
            <w:vMerge/>
            <w:vAlign w:val="center"/>
          </w:tcPr>
          <w:p w14:paraId="7AC07459" w14:textId="77777777" w:rsidR="00BC0114" w:rsidRPr="00D53318" w:rsidRDefault="00BC0114" w:rsidP="002D5FA9">
            <w:pPr>
              <w:spacing w:before="40" w:after="40" w:line="360" w:lineRule="auto"/>
              <w:rPr>
                <w:b/>
                <w:bCs/>
              </w:rPr>
            </w:pPr>
          </w:p>
        </w:tc>
        <w:tc>
          <w:tcPr>
            <w:tcW w:w="3508" w:type="dxa"/>
          </w:tcPr>
          <w:p w14:paraId="443C682D" w14:textId="77777777" w:rsidR="00BC0114" w:rsidRPr="00982F1E" w:rsidRDefault="00BC0114" w:rsidP="002D5FA9">
            <w:pPr>
              <w:spacing w:before="40" w:after="40" w:line="360" w:lineRule="auto"/>
              <w:rPr>
                <w:bCs/>
                <w:lang w:val="en-IE"/>
              </w:rPr>
            </w:pPr>
            <w:r>
              <w:rPr>
                <w:bCs/>
                <w:lang w:val="en-IE"/>
              </w:rPr>
              <w:t>I’ve been feeling useful</w:t>
            </w:r>
          </w:p>
        </w:tc>
        <w:tc>
          <w:tcPr>
            <w:tcW w:w="1098" w:type="dxa"/>
            <w:vAlign w:val="center"/>
          </w:tcPr>
          <w:p w14:paraId="5C756B46"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1FA14FF9"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0A85BA62"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474BFA8C"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48D7A87F"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3889CDF8" w14:textId="77777777" w:rsidTr="002D5FA9">
        <w:trPr>
          <w:trHeight w:val="281"/>
        </w:trPr>
        <w:tc>
          <w:tcPr>
            <w:tcW w:w="567" w:type="dxa"/>
            <w:vMerge/>
            <w:vAlign w:val="center"/>
          </w:tcPr>
          <w:p w14:paraId="725F83CA" w14:textId="77777777" w:rsidR="00BC0114" w:rsidRPr="00D53318" w:rsidRDefault="00BC0114" w:rsidP="002D5FA9">
            <w:pPr>
              <w:spacing w:before="40" w:after="40" w:line="360" w:lineRule="auto"/>
              <w:rPr>
                <w:b/>
                <w:bCs/>
              </w:rPr>
            </w:pPr>
          </w:p>
        </w:tc>
        <w:tc>
          <w:tcPr>
            <w:tcW w:w="3508" w:type="dxa"/>
          </w:tcPr>
          <w:p w14:paraId="554FD9F6" w14:textId="77777777" w:rsidR="00BC0114" w:rsidRPr="00982F1E" w:rsidRDefault="00BC0114" w:rsidP="002D5FA9">
            <w:pPr>
              <w:spacing w:before="40" w:after="40" w:line="360" w:lineRule="auto"/>
              <w:rPr>
                <w:bCs/>
                <w:lang w:val="en-IE"/>
              </w:rPr>
            </w:pPr>
            <w:r>
              <w:rPr>
                <w:bCs/>
                <w:lang w:val="en-IE"/>
              </w:rPr>
              <w:t>I’ve been feeling relaxed</w:t>
            </w:r>
          </w:p>
        </w:tc>
        <w:tc>
          <w:tcPr>
            <w:tcW w:w="1098" w:type="dxa"/>
            <w:vAlign w:val="center"/>
          </w:tcPr>
          <w:p w14:paraId="73699CB0"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35AD027A"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4944C395"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6E100CFC"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78CF01ED"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3DB05A4E" w14:textId="77777777" w:rsidTr="002D5FA9">
        <w:trPr>
          <w:trHeight w:val="281"/>
        </w:trPr>
        <w:tc>
          <w:tcPr>
            <w:tcW w:w="567" w:type="dxa"/>
            <w:vMerge/>
            <w:vAlign w:val="center"/>
          </w:tcPr>
          <w:p w14:paraId="19AF7A17" w14:textId="77777777" w:rsidR="00BC0114" w:rsidRPr="00D53318" w:rsidRDefault="00BC0114" w:rsidP="002D5FA9">
            <w:pPr>
              <w:spacing w:before="40" w:after="40" w:line="360" w:lineRule="auto"/>
              <w:rPr>
                <w:b/>
                <w:bCs/>
              </w:rPr>
            </w:pPr>
          </w:p>
        </w:tc>
        <w:tc>
          <w:tcPr>
            <w:tcW w:w="3508" w:type="dxa"/>
          </w:tcPr>
          <w:p w14:paraId="7BEB7368" w14:textId="77777777" w:rsidR="00BC0114" w:rsidRPr="00982F1E" w:rsidRDefault="00BC0114" w:rsidP="002D5FA9">
            <w:pPr>
              <w:spacing w:before="40" w:after="40" w:line="360" w:lineRule="auto"/>
              <w:rPr>
                <w:bCs/>
                <w:lang w:val="en-IE"/>
              </w:rPr>
            </w:pPr>
            <w:r>
              <w:rPr>
                <w:bCs/>
                <w:lang w:val="en-IE"/>
              </w:rPr>
              <w:t>I’ve been dealing with problems well</w:t>
            </w:r>
          </w:p>
        </w:tc>
        <w:tc>
          <w:tcPr>
            <w:tcW w:w="1098" w:type="dxa"/>
            <w:vAlign w:val="center"/>
          </w:tcPr>
          <w:p w14:paraId="12B75FAF"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1FDE7CA4"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35605EAB"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4D1C9DB6"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5DDB35EB"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688F4AC0" w14:textId="77777777" w:rsidTr="002D5FA9">
        <w:trPr>
          <w:trHeight w:val="281"/>
        </w:trPr>
        <w:tc>
          <w:tcPr>
            <w:tcW w:w="567" w:type="dxa"/>
            <w:vMerge/>
            <w:vAlign w:val="center"/>
          </w:tcPr>
          <w:p w14:paraId="31852553" w14:textId="77777777" w:rsidR="00BC0114" w:rsidRPr="00D53318" w:rsidRDefault="00BC0114" w:rsidP="002D5FA9">
            <w:pPr>
              <w:spacing w:before="40" w:after="40" w:line="360" w:lineRule="auto"/>
              <w:rPr>
                <w:b/>
                <w:bCs/>
              </w:rPr>
            </w:pPr>
          </w:p>
        </w:tc>
        <w:tc>
          <w:tcPr>
            <w:tcW w:w="3508" w:type="dxa"/>
          </w:tcPr>
          <w:p w14:paraId="5BF5A376" w14:textId="77777777" w:rsidR="00BC0114" w:rsidRPr="00982F1E" w:rsidRDefault="00BC0114" w:rsidP="002D5FA9">
            <w:pPr>
              <w:spacing w:before="40" w:after="40" w:line="360" w:lineRule="auto"/>
              <w:rPr>
                <w:bCs/>
                <w:lang w:val="en-IE"/>
              </w:rPr>
            </w:pPr>
            <w:r>
              <w:rPr>
                <w:bCs/>
                <w:lang w:val="en-IE"/>
              </w:rPr>
              <w:t>I’ve been thinking clearly</w:t>
            </w:r>
          </w:p>
        </w:tc>
        <w:tc>
          <w:tcPr>
            <w:tcW w:w="1098" w:type="dxa"/>
            <w:vAlign w:val="center"/>
          </w:tcPr>
          <w:p w14:paraId="798CDC8D"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2BF602A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7CFF2F8"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FA8E01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2CA8F36C"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7D936CCD" w14:textId="77777777" w:rsidTr="002D5FA9">
        <w:trPr>
          <w:trHeight w:val="281"/>
        </w:trPr>
        <w:tc>
          <w:tcPr>
            <w:tcW w:w="567" w:type="dxa"/>
            <w:vMerge/>
            <w:vAlign w:val="center"/>
          </w:tcPr>
          <w:p w14:paraId="5C33A3C1" w14:textId="77777777" w:rsidR="00BC0114" w:rsidRPr="00D53318" w:rsidRDefault="00BC0114" w:rsidP="002D5FA9">
            <w:pPr>
              <w:spacing w:before="40" w:after="40" w:line="360" w:lineRule="auto"/>
              <w:rPr>
                <w:b/>
                <w:bCs/>
              </w:rPr>
            </w:pPr>
          </w:p>
        </w:tc>
        <w:tc>
          <w:tcPr>
            <w:tcW w:w="3508" w:type="dxa"/>
          </w:tcPr>
          <w:p w14:paraId="441E148E" w14:textId="77777777" w:rsidR="00BC0114" w:rsidRPr="00982F1E" w:rsidRDefault="00BC0114" w:rsidP="002D5FA9">
            <w:pPr>
              <w:spacing w:before="40" w:after="40" w:line="360" w:lineRule="auto"/>
              <w:rPr>
                <w:bCs/>
                <w:lang w:val="en-IE"/>
              </w:rPr>
            </w:pPr>
            <w:r>
              <w:rPr>
                <w:bCs/>
                <w:lang w:val="en-IE"/>
              </w:rPr>
              <w:t>I’ve been feeling close to other people</w:t>
            </w:r>
          </w:p>
        </w:tc>
        <w:tc>
          <w:tcPr>
            <w:tcW w:w="1098" w:type="dxa"/>
            <w:vAlign w:val="center"/>
          </w:tcPr>
          <w:p w14:paraId="5107659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23D09803"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4647C3D"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6DFEFF22"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6A8EA66C"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BC0114" w:rsidRPr="00D53318" w:rsidDel="00DC6327" w14:paraId="72458F7B" w14:textId="77777777" w:rsidTr="002D5FA9">
        <w:trPr>
          <w:trHeight w:val="281"/>
        </w:trPr>
        <w:tc>
          <w:tcPr>
            <w:tcW w:w="567" w:type="dxa"/>
            <w:vMerge/>
            <w:vAlign w:val="center"/>
          </w:tcPr>
          <w:p w14:paraId="1BC1E012" w14:textId="77777777" w:rsidR="00BC0114" w:rsidRPr="00D53318" w:rsidRDefault="00BC0114" w:rsidP="002D5FA9">
            <w:pPr>
              <w:spacing w:before="40" w:after="40" w:line="360" w:lineRule="auto"/>
              <w:rPr>
                <w:b/>
                <w:bCs/>
              </w:rPr>
            </w:pPr>
          </w:p>
        </w:tc>
        <w:tc>
          <w:tcPr>
            <w:tcW w:w="3508" w:type="dxa"/>
          </w:tcPr>
          <w:p w14:paraId="77BDE615" w14:textId="77777777" w:rsidR="00BC0114" w:rsidRPr="00982F1E" w:rsidRDefault="00BC0114" w:rsidP="002D5FA9">
            <w:pPr>
              <w:spacing w:before="40" w:after="40" w:line="360" w:lineRule="auto"/>
              <w:rPr>
                <w:bCs/>
                <w:lang w:val="en-IE"/>
              </w:rPr>
            </w:pPr>
            <w:r>
              <w:rPr>
                <w:bCs/>
                <w:lang w:val="en-IE"/>
              </w:rPr>
              <w:t>I’ve been able to make up my own mind about things</w:t>
            </w:r>
          </w:p>
        </w:tc>
        <w:tc>
          <w:tcPr>
            <w:tcW w:w="1098" w:type="dxa"/>
            <w:vAlign w:val="center"/>
          </w:tcPr>
          <w:p w14:paraId="4B30A1C6"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23BB035F"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587D1034"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50E379AD"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41BFB312" w14:textId="77777777" w:rsidR="00BC0114" w:rsidRPr="00730069" w:rsidRDefault="00BC0114"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719E48A2" w14:textId="77777777" w:rsidR="00BC0114" w:rsidRDefault="00BC0114"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BC0114" w:rsidRPr="004E34FD" w14:paraId="21F19C5B" w14:textId="77777777" w:rsidTr="002D5FA9">
        <w:trPr>
          <w:trHeight w:val="296"/>
        </w:trPr>
        <w:tc>
          <w:tcPr>
            <w:tcW w:w="283" w:type="pct"/>
            <w:shd w:val="clear" w:color="auto" w:fill="E0E0E0"/>
            <w:vAlign w:val="center"/>
          </w:tcPr>
          <w:p w14:paraId="60555EDE" w14:textId="77777777" w:rsidR="00BC0114" w:rsidRPr="004E34FD" w:rsidRDefault="00BC0114" w:rsidP="00BC0114">
            <w:pPr>
              <w:widowControl/>
              <w:numPr>
                <w:ilvl w:val="0"/>
                <w:numId w:val="38"/>
              </w:numPr>
              <w:tabs>
                <w:tab w:val="num" w:pos="682"/>
              </w:tabs>
              <w:spacing w:before="40" w:after="40" w:line="360" w:lineRule="auto"/>
              <w:jc w:val="both"/>
              <w:rPr>
                <w:b/>
              </w:rPr>
            </w:pPr>
          </w:p>
        </w:tc>
        <w:tc>
          <w:tcPr>
            <w:tcW w:w="4717" w:type="pct"/>
            <w:gridSpan w:val="2"/>
            <w:tcBorders>
              <w:bottom w:val="single" w:sz="4" w:space="0" w:color="auto"/>
            </w:tcBorders>
            <w:shd w:val="clear" w:color="auto" w:fill="E0E0E0"/>
            <w:vAlign w:val="center"/>
          </w:tcPr>
          <w:p w14:paraId="462559C4" w14:textId="77777777" w:rsidR="00BC0114" w:rsidRPr="004E34FD" w:rsidRDefault="00BC0114" w:rsidP="002D5FA9">
            <w:pPr>
              <w:spacing w:before="40" w:after="40" w:line="360" w:lineRule="auto"/>
              <w:jc w:val="both"/>
              <w:rPr>
                <w:b/>
                <w:szCs w:val="24"/>
                <w:lang w:val="en-IE"/>
              </w:rPr>
            </w:pPr>
            <w:r w:rsidRPr="00BB5BC9">
              <w:rPr>
                <w:b/>
                <w:bCs/>
                <w:szCs w:val="24"/>
                <w:lang w:val="en-GB"/>
              </w:rPr>
              <w:t>Thinking about how much contact you</w:t>
            </w:r>
            <w:r>
              <w:rPr>
                <w:b/>
                <w:bCs/>
                <w:szCs w:val="24"/>
                <w:lang w:val="en-GB"/>
              </w:rPr>
              <w:t xml:space="preserve"> have </w:t>
            </w:r>
            <w:r w:rsidRPr="00BB5BC9">
              <w:rPr>
                <w:b/>
                <w:bCs/>
                <w:szCs w:val="24"/>
                <w:lang w:val="en-GB"/>
              </w:rPr>
              <w:t>had with people you like</w:t>
            </w:r>
            <w:r>
              <w:rPr>
                <w:b/>
                <w:bCs/>
                <w:szCs w:val="24"/>
                <w:lang w:val="en-GB"/>
              </w:rPr>
              <w:t xml:space="preserve"> </w:t>
            </w:r>
            <w:r w:rsidRPr="00B873FC">
              <w:rPr>
                <w:b/>
                <w:bCs/>
                <w:szCs w:val="24"/>
                <w:u w:val="single"/>
                <w:lang w:val="en-GB"/>
              </w:rPr>
              <w:t>in the last 3 months</w:t>
            </w:r>
            <w:r w:rsidRPr="00BB5BC9">
              <w:rPr>
                <w:b/>
                <w:bCs/>
                <w:szCs w:val="24"/>
                <w:lang w:val="en-GB"/>
              </w:rPr>
              <w:t>, which of the following statements best describes your social situation</w:t>
            </w:r>
            <w:r>
              <w:rPr>
                <w:b/>
                <w:bCs/>
                <w:szCs w:val="24"/>
                <w:lang w:val="en-GB"/>
              </w:rPr>
              <w:t>:</w:t>
            </w:r>
            <w:r>
              <w:rPr>
                <w:rStyle w:val="FootnoteReference"/>
                <w:b/>
                <w:bCs/>
                <w:szCs w:val="24"/>
                <w:lang w:val="en-GB"/>
              </w:rPr>
              <w:footnoteReference w:id="140"/>
            </w:r>
          </w:p>
        </w:tc>
      </w:tr>
      <w:tr w:rsidR="00BC0114" w:rsidRPr="004E34FD" w:rsidDel="00DC6327" w14:paraId="47906228" w14:textId="77777777" w:rsidTr="002D5FA9">
        <w:tc>
          <w:tcPr>
            <w:tcW w:w="283" w:type="pct"/>
            <w:vMerge w:val="restart"/>
            <w:vAlign w:val="center"/>
          </w:tcPr>
          <w:p w14:paraId="4D0814F7"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4A1933A0" w14:textId="77777777" w:rsidR="00BC0114" w:rsidRPr="00BB5BC9" w:rsidRDefault="00BC0114" w:rsidP="002D5FA9">
            <w:pPr>
              <w:spacing w:before="40" w:after="40" w:line="360" w:lineRule="auto"/>
              <w:rPr>
                <w:bCs/>
                <w:lang w:val="en-IE"/>
              </w:rPr>
            </w:pPr>
            <w:r w:rsidRPr="00BB5BC9">
              <w:rPr>
                <w:bCs/>
                <w:lang w:val="en-IE"/>
              </w:rPr>
              <w:t>I have as much social contact as I want with people I like</w:t>
            </w:r>
          </w:p>
        </w:tc>
        <w:tc>
          <w:tcPr>
            <w:tcW w:w="731" w:type="pct"/>
            <w:tcBorders>
              <w:left w:val="single" w:sz="4" w:space="0" w:color="auto"/>
            </w:tcBorders>
            <w:vAlign w:val="center"/>
          </w:tcPr>
          <w:p w14:paraId="43DE708B" w14:textId="77777777" w:rsidR="00BC0114" w:rsidRPr="004E34FD" w:rsidDel="00DC6327"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rsidDel="00DC6327" w14:paraId="7AF0D4B9" w14:textId="77777777" w:rsidTr="002D5FA9">
        <w:tc>
          <w:tcPr>
            <w:tcW w:w="283" w:type="pct"/>
            <w:vMerge/>
            <w:vAlign w:val="center"/>
          </w:tcPr>
          <w:p w14:paraId="09127452"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240534D3" w14:textId="77777777" w:rsidR="00BC0114" w:rsidRPr="00BB5BC9" w:rsidRDefault="00BC0114" w:rsidP="002D5FA9">
            <w:pPr>
              <w:spacing w:before="40" w:after="40" w:line="360" w:lineRule="auto"/>
              <w:rPr>
                <w:bCs/>
                <w:lang w:val="en-IE"/>
              </w:rPr>
            </w:pPr>
            <w:r w:rsidRPr="00BB5BC9">
              <w:rPr>
                <w:bCs/>
                <w:lang w:val="en-IE"/>
              </w:rPr>
              <w:t>I have adequate social contact with people</w:t>
            </w:r>
          </w:p>
        </w:tc>
        <w:tc>
          <w:tcPr>
            <w:tcW w:w="731" w:type="pct"/>
            <w:tcBorders>
              <w:left w:val="single" w:sz="4" w:space="0" w:color="auto"/>
            </w:tcBorders>
          </w:tcPr>
          <w:p w14:paraId="76C83D9E"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44B57A7F" w14:textId="77777777" w:rsidTr="002D5FA9">
        <w:tc>
          <w:tcPr>
            <w:tcW w:w="283" w:type="pct"/>
            <w:vMerge/>
            <w:vAlign w:val="center"/>
          </w:tcPr>
          <w:p w14:paraId="041DC701"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05682657" w14:textId="77777777" w:rsidR="00BC0114" w:rsidRPr="00BB5BC9" w:rsidRDefault="00BC0114" w:rsidP="002D5FA9">
            <w:pPr>
              <w:spacing w:before="40" w:after="40" w:line="360" w:lineRule="auto"/>
              <w:rPr>
                <w:bCs/>
                <w:lang w:val="en-IE"/>
              </w:rPr>
            </w:pPr>
            <w:r w:rsidRPr="00BB5BC9">
              <w:rPr>
                <w:bCs/>
                <w:lang w:val="en-IE"/>
              </w:rPr>
              <w:t>I have some social contact with people, but not enough</w:t>
            </w:r>
          </w:p>
        </w:tc>
        <w:tc>
          <w:tcPr>
            <w:tcW w:w="731" w:type="pct"/>
            <w:tcBorders>
              <w:left w:val="single" w:sz="4" w:space="0" w:color="auto"/>
            </w:tcBorders>
          </w:tcPr>
          <w:p w14:paraId="07939B32" w14:textId="77777777" w:rsidR="00BC0114" w:rsidRPr="004E34FD"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BC0114" w:rsidRPr="004E34FD" w14:paraId="663F5FD5" w14:textId="77777777" w:rsidTr="002D5FA9">
        <w:tc>
          <w:tcPr>
            <w:tcW w:w="283" w:type="pct"/>
            <w:vMerge/>
            <w:vAlign w:val="center"/>
          </w:tcPr>
          <w:p w14:paraId="01292FDC" w14:textId="77777777" w:rsidR="00BC0114" w:rsidRPr="004E34FD" w:rsidRDefault="00BC0114" w:rsidP="002D5FA9">
            <w:pPr>
              <w:spacing w:before="40" w:after="40" w:line="360" w:lineRule="auto"/>
              <w:jc w:val="both"/>
              <w:rPr>
                <w:b/>
                <w:bCs/>
                <w:szCs w:val="24"/>
                <w:lang w:val="en-IE"/>
              </w:rPr>
            </w:pPr>
          </w:p>
        </w:tc>
        <w:tc>
          <w:tcPr>
            <w:tcW w:w="3986" w:type="pct"/>
            <w:vAlign w:val="center"/>
          </w:tcPr>
          <w:p w14:paraId="241DB69B" w14:textId="77777777" w:rsidR="00BC0114" w:rsidRPr="00BB5BC9" w:rsidRDefault="00BC0114" w:rsidP="002D5FA9">
            <w:pPr>
              <w:spacing w:before="40" w:after="40" w:line="360" w:lineRule="auto"/>
              <w:rPr>
                <w:bCs/>
                <w:lang w:val="en-IE"/>
              </w:rPr>
            </w:pPr>
            <w:r w:rsidRPr="00BB5BC9">
              <w:rPr>
                <w:bCs/>
                <w:lang w:val="en-IE"/>
              </w:rPr>
              <w:t>I have little social contact with people and feel socially isolated</w:t>
            </w:r>
          </w:p>
        </w:tc>
        <w:tc>
          <w:tcPr>
            <w:tcW w:w="731" w:type="pct"/>
            <w:tcBorders>
              <w:left w:val="single" w:sz="4" w:space="0" w:color="auto"/>
            </w:tcBorders>
            <w:vAlign w:val="center"/>
          </w:tcPr>
          <w:p w14:paraId="22F32E2E" w14:textId="77777777" w:rsidR="00BC0114" w:rsidRPr="004E34FD" w:rsidDel="00DC6327" w:rsidRDefault="00BC0114"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bl>
    <w:p w14:paraId="284C4AA8" w14:textId="77777777" w:rsidR="00BC0114" w:rsidRDefault="00BC0114" w:rsidP="00AE785D">
      <w:pPr>
        <w:pStyle w:val="BodyText-parastyle"/>
      </w:pPr>
    </w:p>
    <w:p w14:paraId="11D8C9C7" w14:textId="77777777" w:rsidR="00BC0114" w:rsidRDefault="00BC0114" w:rsidP="00AE785D">
      <w:pPr>
        <w:pStyle w:val="BodyText-parastyle"/>
      </w:pPr>
    </w:p>
    <w:p w14:paraId="44C19A5B" w14:textId="77777777" w:rsidR="00BC0114" w:rsidRDefault="00BC0114" w:rsidP="00AE785D">
      <w:pPr>
        <w:pStyle w:val="BodyText-parastyle"/>
      </w:pPr>
    </w:p>
    <w:p w14:paraId="524B5E56" w14:textId="77777777" w:rsidR="00BC0114" w:rsidRPr="00982F1E" w:rsidRDefault="00BC0114" w:rsidP="00AE785D">
      <w:pPr>
        <w:pStyle w:val="BodyText-parastyle"/>
      </w:pPr>
      <w:r w:rsidRPr="00092EF5">
        <w:t>Your Health Today</w:t>
      </w:r>
      <w:r>
        <w:rPr>
          <w:rStyle w:val="FootnoteReference"/>
        </w:rPr>
        <w:footnoteReference w:id="141"/>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550"/>
        <w:gridCol w:w="4548"/>
      </w:tblGrid>
      <w:tr w:rsidR="00BC0114" w:rsidRPr="000963D4" w14:paraId="36FAD948" w14:textId="77777777" w:rsidTr="002D5FA9">
        <w:trPr>
          <w:trHeight w:val="296"/>
          <w:tblHeader/>
        </w:trPr>
        <w:tc>
          <w:tcPr>
            <w:tcW w:w="281" w:type="pct"/>
            <w:shd w:val="clear" w:color="auto" w:fill="E0E0E0"/>
            <w:vAlign w:val="center"/>
          </w:tcPr>
          <w:p w14:paraId="306EFBCF" w14:textId="77777777" w:rsidR="00BC0114" w:rsidRPr="000963D4" w:rsidRDefault="00BC0114" w:rsidP="00BC0114">
            <w:pPr>
              <w:widowControl/>
              <w:numPr>
                <w:ilvl w:val="0"/>
                <w:numId w:val="38"/>
              </w:numPr>
              <w:tabs>
                <w:tab w:val="num" w:pos="1364"/>
              </w:tabs>
              <w:spacing w:after="200" w:line="600" w:lineRule="auto"/>
              <w:jc w:val="both"/>
              <w:rPr>
                <w:b/>
              </w:rPr>
            </w:pPr>
          </w:p>
        </w:tc>
        <w:tc>
          <w:tcPr>
            <w:tcW w:w="4719" w:type="pct"/>
            <w:gridSpan w:val="2"/>
            <w:shd w:val="clear" w:color="auto" w:fill="E0E0E0"/>
            <w:vAlign w:val="center"/>
          </w:tcPr>
          <w:p w14:paraId="2CBF03A0" w14:textId="77777777" w:rsidR="00BC0114" w:rsidRPr="000963D4" w:rsidRDefault="00BC0114" w:rsidP="002D5FA9">
            <w:pPr>
              <w:spacing w:after="60" w:line="240" w:lineRule="auto"/>
              <w:jc w:val="both"/>
              <w:rPr>
                <w:b/>
                <w:szCs w:val="24"/>
                <w:lang w:val="en-IE"/>
              </w:rPr>
            </w:pPr>
            <w:r w:rsidRPr="00B02A62">
              <w:rPr>
                <w:b/>
                <w:szCs w:val="24"/>
                <w:lang w:val="en-IE"/>
              </w:rPr>
              <w:t xml:space="preserve">We would like to know how good or bad your health is TODAY. The scale is numbered 1 to 100. 100 means the BEST health you can imagine, while 1 means the WORST health you can imagine. </w:t>
            </w:r>
            <w:r w:rsidRPr="00B873FC">
              <w:rPr>
                <w:b/>
                <w:szCs w:val="24"/>
                <w:u w:val="single"/>
                <w:lang w:val="en-IE"/>
              </w:rPr>
              <w:t>Please write a number between 1 and 100 in the box provided below to indicate how your health is TODAY</w:t>
            </w:r>
          </w:p>
        </w:tc>
      </w:tr>
      <w:tr w:rsidR="00BC0114" w:rsidRPr="000963D4" w:rsidDel="00DC6327" w14:paraId="5DD0F844" w14:textId="77777777" w:rsidTr="002D5FA9">
        <w:trPr>
          <w:trHeight w:val="454"/>
        </w:trPr>
        <w:tc>
          <w:tcPr>
            <w:tcW w:w="281" w:type="pct"/>
            <w:vAlign w:val="center"/>
          </w:tcPr>
          <w:p w14:paraId="506E75EC" w14:textId="77777777" w:rsidR="00BC0114" w:rsidRPr="000963D4" w:rsidRDefault="00BC0114" w:rsidP="002D5FA9">
            <w:pPr>
              <w:spacing w:before="120" w:after="120" w:line="600" w:lineRule="auto"/>
              <w:jc w:val="both"/>
              <w:rPr>
                <w:b/>
                <w:bCs/>
                <w:szCs w:val="24"/>
                <w:lang w:val="en-IE"/>
              </w:rPr>
            </w:pPr>
          </w:p>
        </w:tc>
        <w:tc>
          <w:tcPr>
            <w:tcW w:w="2360" w:type="pct"/>
            <w:vAlign w:val="center"/>
          </w:tcPr>
          <w:p w14:paraId="38AEC59D" w14:textId="77777777" w:rsidR="00BC0114" w:rsidRPr="00777D82" w:rsidRDefault="00BC0114" w:rsidP="002D5FA9">
            <w:pPr>
              <w:spacing w:line="600" w:lineRule="auto"/>
            </w:pPr>
            <w:r w:rsidRPr="00B02A62">
              <w:t>Your Health Today =</w:t>
            </w:r>
          </w:p>
        </w:tc>
        <w:tc>
          <w:tcPr>
            <w:tcW w:w="2360" w:type="pct"/>
            <w:vAlign w:val="center"/>
          </w:tcPr>
          <w:p w14:paraId="23DFDA93" w14:textId="77777777" w:rsidR="00BC0114" w:rsidRPr="000963D4" w:rsidDel="00DC6327" w:rsidRDefault="00BC0114" w:rsidP="002D5FA9">
            <w:pPr>
              <w:spacing w:before="120" w:after="120" w:line="60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108E8DAC" w14:textId="5BA85DA8" w:rsidR="00BC0114" w:rsidRPr="00CC7DAD" w:rsidRDefault="00BC0114" w:rsidP="00CC7DAD">
      <w:pPr>
        <w:pStyle w:val="BodyText-italics"/>
      </w:pPr>
      <w:r>
        <w:br w:type="page"/>
      </w:r>
    </w:p>
    <w:p w14:paraId="77EE17CD" w14:textId="77777777" w:rsidR="00BC0114" w:rsidRDefault="00BC0114" w:rsidP="00BC0114">
      <w:pPr>
        <w:pStyle w:val="AppendixHeader"/>
      </w:pPr>
      <w:bookmarkStart w:id="94" w:name="_Toc472945044"/>
      <w:bookmarkStart w:id="95" w:name="_Toc487652121"/>
      <w:bookmarkStart w:id="96" w:name="_Toc493160624"/>
      <w:r w:rsidRPr="005722F7">
        <w:t xml:space="preserve">APPENDIX </w:t>
      </w:r>
      <w:r>
        <w:t>2</w:t>
      </w:r>
      <w:r w:rsidRPr="005722F7">
        <w:t>: SERVICE USER Follow-Up QUESTIONNAIRE</w:t>
      </w:r>
      <w:bookmarkEnd w:id="94"/>
      <w:bookmarkEnd w:id="95"/>
      <w:bookmarkEnd w:id="96"/>
    </w:p>
    <w:p w14:paraId="651DCF92" w14:textId="55C44225" w:rsidR="00CC7DAD" w:rsidRDefault="00CC7DAD">
      <w:pPr>
        <w:spacing w:before="0" w:after="0" w:line="240" w:lineRule="auto"/>
        <w:rPr>
          <w:rFonts w:eastAsia="Times New Roman"/>
          <w:b/>
          <w:bCs/>
          <w:caps/>
          <w:color w:val="009CDE"/>
          <w:sz w:val="32"/>
          <w:szCs w:val="32"/>
          <w:lang w:val="en-GB"/>
        </w:rPr>
      </w:pPr>
      <w:r>
        <w:br w:type="page"/>
      </w:r>
    </w:p>
    <w:p w14:paraId="25961ED4" w14:textId="77777777" w:rsidR="00CC7DAD" w:rsidRDefault="00CC7DAD" w:rsidP="00AE785D">
      <w:pPr>
        <w:pStyle w:val="BodyText-parastyle"/>
        <w:rPr>
          <w:rStyle w:val="Strong"/>
        </w:rPr>
      </w:pPr>
      <w:r w:rsidRPr="00591CC5">
        <w:rPr>
          <w:rStyle w:val="Strong"/>
        </w:rPr>
        <w:t>Purpose of Survey</w:t>
      </w:r>
      <w:r>
        <w:rPr>
          <w:rStyle w:val="Strong"/>
        </w:rPr>
        <w:t>:</w:t>
      </w:r>
    </w:p>
    <w:p w14:paraId="52C95801" w14:textId="63A97219" w:rsidR="00CC7DAD" w:rsidRPr="00CC7DAD" w:rsidRDefault="00CC7DAD" w:rsidP="00AE785D">
      <w:pPr>
        <w:pStyle w:val="BodyText-parastyle"/>
        <w:rPr>
          <w:rStyle w:val="Strong"/>
        </w:rPr>
      </w:pPr>
      <w:r w:rsidRPr="007B2A96">
        <w:rPr>
          <w:rStyle w:val="Strong"/>
          <w:b w:val="0"/>
        </w:rPr>
        <w:t xml:space="preserve">PACEC have been appointed by Essex County Council to undertake a review of </w:t>
      </w:r>
      <w:r>
        <w:rPr>
          <w:rStyle w:val="Strong"/>
          <w:b w:val="0"/>
        </w:rPr>
        <w:t xml:space="preserve">six </w:t>
      </w:r>
      <w:r w:rsidRPr="007B2A96">
        <w:rPr>
          <w:rStyle w:val="Strong"/>
          <w:b w:val="0"/>
        </w:rPr>
        <w:t>Social Prescribing Models across Essex</w:t>
      </w:r>
      <w:r>
        <w:rPr>
          <w:rStyle w:val="Strong"/>
          <w:b w:val="0"/>
        </w:rPr>
        <w:t xml:space="preserve">.  As part of this process we are conducting two surveys – one with service users when they first receive support and one later to capture feedback on their experience of the service and impact of the support provided.  You had previously spoken with us when you first joined the project, this survey is </w:t>
      </w:r>
      <w:r w:rsidRPr="000A74D8">
        <w:rPr>
          <w:rStyle w:val="Strong"/>
          <w:b w:val="0"/>
        </w:rPr>
        <w:t>designed to gather information on</w:t>
      </w:r>
      <w:r>
        <w:rPr>
          <w:rStyle w:val="Strong"/>
          <w:b w:val="0"/>
        </w:rPr>
        <w:t xml:space="preserve"> your</w:t>
      </w:r>
      <w:r w:rsidRPr="000A74D8">
        <w:rPr>
          <w:rStyle w:val="Strong"/>
          <w:b w:val="0"/>
        </w:rPr>
        <w:t xml:space="preserve"> health and wellbeing after receiving support from the service.</w:t>
      </w:r>
      <w:r>
        <w:rPr>
          <w:rStyle w:val="Strong"/>
        </w:rPr>
        <w:t xml:space="preserve"> </w:t>
      </w:r>
      <w:r w:rsidRPr="00591CC5">
        <w:rPr>
          <w:rStyle w:val="Strong"/>
          <w:b w:val="0"/>
        </w:rPr>
        <w:t xml:space="preserve">This survey is for </w:t>
      </w:r>
      <w:r>
        <w:rPr>
          <w:rStyle w:val="Strong"/>
          <w:b w:val="0"/>
        </w:rPr>
        <w:t xml:space="preserve">clients that have started one of the Social Prescribing services in July 2016.  Please note that respondents do not have to answer all questions if they do not wish to.  </w:t>
      </w:r>
      <w:r w:rsidRPr="00876449">
        <w:rPr>
          <w:rStyle w:val="Strong"/>
          <w:b w:val="0"/>
        </w:rPr>
        <w:t>This questionnaire will be used in conversation with the service user and will not be posted or emailed.</w:t>
      </w:r>
    </w:p>
    <w:p w14:paraId="1142107B" w14:textId="77777777" w:rsidR="00CC7DAD" w:rsidRDefault="00CC7DAD" w:rsidP="00AE785D">
      <w:pPr>
        <w:pStyle w:val="BodyText-parastyle"/>
        <w:rPr>
          <w:rStyle w:val="Strong"/>
        </w:rPr>
      </w:pPr>
      <w:r>
        <w:rPr>
          <w:rStyle w:val="Strong"/>
        </w:rPr>
        <w:t xml:space="preserve">How your responses </w:t>
      </w:r>
      <w:r w:rsidRPr="00591CC5">
        <w:rPr>
          <w:rStyle w:val="Strong"/>
        </w:rPr>
        <w:t>will be used</w:t>
      </w:r>
      <w:r>
        <w:rPr>
          <w:rStyle w:val="Strong"/>
        </w:rPr>
        <w:t>:</w:t>
      </w:r>
    </w:p>
    <w:p w14:paraId="2E7F0AAA" w14:textId="77777777" w:rsidR="00CC7DAD" w:rsidRDefault="00CC7DAD" w:rsidP="00AE785D">
      <w:pPr>
        <w:pStyle w:val="BodyText-parastyle"/>
        <w:rPr>
          <w:rStyle w:val="Strong"/>
          <w:b w:val="0"/>
        </w:rPr>
      </w:pPr>
      <w:r w:rsidRPr="00591CC5">
        <w:rPr>
          <w:rStyle w:val="Strong"/>
          <w:b w:val="0"/>
        </w:rPr>
        <w:t>This survey is confidential</w:t>
      </w:r>
      <w:r>
        <w:rPr>
          <w:rStyle w:val="Strong"/>
          <w:b w:val="0"/>
        </w:rPr>
        <w:t>.</w:t>
      </w:r>
      <w:r w:rsidRPr="00591CC5">
        <w:rPr>
          <w:rStyle w:val="Strong"/>
          <w:b w:val="0"/>
        </w:rPr>
        <w:t xml:space="preserve"> The information provide</w:t>
      </w:r>
      <w:r>
        <w:rPr>
          <w:rStyle w:val="Strong"/>
          <w:b w:val="0"/>
        </w:rPr>
        <w:t>d</w:t>
      </w:r>
      <w:r w:rsidRPr="00591CC5">
        <w:rPr>
          <w:rStyle w:val="Strong"/>
          <w:b w:val="0"/>
        </w:rPr>
        <w:t xml:space="preserve"> will be treated with confidence and used for the purposes of this research only</w:t>
      </w:r>
      <w:r>
        <w:rPr>
          <w:rStyle w:val="Strong"/>
          <w:b w:val="0"/>
        </w:rPr>
        <w:t>.</w:t>
      </w:r>
    </w:p>
    <w:p w14:paraId="5AC8D647" w14:textId="77777777" w:rsidR="00CC7DAD" w:rsidRPr="00AF4FDC" w:rsidRDefault="00CC7DAD" w:rsidP="00AE785D">
      <w:pPr>
        <w:pStyle w:val="BodyText-parastyle"/>
        <w:rPr>
          <w:rStyle w:val="Strong"/>
          <w:b w:val="0"/>
          <w:color w:val="FF0000"/>
        </w:rPr>
      </w:pPr>
      <w:r w:rsidRPr="00AF4FDC">
        <w:rPr>
          <w:rStyle w:val="Strong"/>
          <w:color w:val="FF0000"/>
        </w:rPr>
        <w:t>Note:</w:t>
      </w:r>
      <w:r w:rsidRPr="00AF4FDC">
        <w:rPr>
          <w:rStyle w:val="Strong"/>
          <w:b w:val="0"/>
          <w:color w:val="FF0000"/>
        </w:rPr>
        <w:t xml:space="preserve"> </w:t>
      </w:r>
      <w:r>
        <w:rPr>
          <w:rStyle w:val="Strong"/>
          <w:b w:val="0"/>
          <w:color w:val="FF0000"/>
        </w:rPr>
        <w:t>This questionnaire should only be completed with</w:t>
      </w:r>
      <w:r w:rsidRPr="00AF4FDC">
        <w:rPr>
          <w:rStyle w:val="Strong"/>
          <w:b w:val="0"/>
          <w:color w:val="FF0000"/>
        </w:rPr>
        <w:t xml:space="preserve"> clients / service users that have provided consent for their contact details and personal information to be shared for evaluation purposes</w:t>
      </w:r>
      <w:r>
        <w:rPr>
          <w:rStyle w:val="Strong"/>
          <w:b w:val="0"/>
          <w:color w:val="FF0000"/>
        </w:rPr>
        <w:t xml:space="preserve">.  </w:t>
      </w:r>
      <w:r w:rsidRPr="00943108">
        <w:rPr>
          <w:rStyle w:val="Strong"/>
          <w:b w:val="0"/>
          <w:color w:val="FF0000"/>
          <w:u w:val="single"/>
        </w:rPr>
        <w:t>This should be confirmed before the questionnaire is completed</w:t>
      </w:r>
      <w:r>
        <w:rPr>
          <w:rStyle w:val="Strong"/>
          <w:b w:val="0"/>
          <w:color w:val="FF0000"/>
        </w:rPr>
        <w:t>.</w:t>
      </w:r>
    </w:p>
    <w:p w14:paraId="65D1364F" w14:textId="77777777" w:rsidR="00CC7DAD" w:rsidRPr="00876449" w:rsidRDefault="00CC7DAD" w:rsidP="00CC7DAD">
      <w:pPr>
        <w:pStyle w:val="BodyText-italics"/>
        <w:rPr>
          <w:rStyle w:val="Strong"/>
          <w:bCs/>
          <w:iCs/>
          <w:color w:val="FF0000"/>
        </w:rPr>
      </w:pPr>
      <w:r w:rsidRPr="009D37C5">
        <w:rPr>
          <w:rStyle w:val="Strong"/>
          <w:color w:val="FF0000"/>
        </w:rPr>
        <w:t>Note (to be read out to data subject before questionnaire is conducted):</w:t>
      </w:r>
      <w:r w:rsidRPr="00876449">
        <w:rPr>
          <w:rStyle w:val="Strong"/>
          <w:color w:val="FF0000"/>
        </w:rPr>
        <w:t xml:space="preserve"> Your personal information has been provided to us by </w:t>
      </w:r>
      <w:r>
        <w:rPr>
          <w:rStyle w:val="Strong"/>
          <w:color w:val="FF0000"/>
        </w:rPr>
        <w:t>[</w:t>
      </w:r>
      <w:r w:rsidRPr="00876449">
        <w:rPr>
          <w:rStyle w:val="Strong"/>
          <w:i/>
          <w:color w:val="FF0000"/>
          <w:highlight w:val="yellow"/>
        </w:rPr>
        <w:t>refer to name of organisation that provided the contact details</w:t>
      </w:r>
      <w:r>
        <w:rPr>
          <w:rStyle w:val="Strong"/>
          <w:color w:val="FF0000"/>
        </w:rPr>
        <w:t>]</w:t>
      </w:r>
      <w:r w:rsidRPr="00876449">
        <w:rPr>
          <w:rStyle w:val="Strong"/>
          <w:color w:val="FF0000"/>
        </w:rPr>
        <w:t xml:space="preserve"> under your consent. This information and the responses in this questionnaire will be securely stored and will not be shared or utilised for any other purpose than which you have given consent.</w:t>
      </w:r>
    </w:p>
    <w:p w14:paraId="261D70B5" w14:textId="77777777" w:rsidR="00CC7DAD" w:rsidRPr="00097707" w:rsidRDefault="00CC7DAD" w:rsidP="00AE785D">
      <w:pPr>
        <w:pStyle w:val="BodyText-parastylebold"/>
        <w:rPr>
          <w:rStyle w:val="Strong"/>
          <w:b/>
        </w:rPr>
      </w:pPr>
      <w:r w:rsidRPr="00097707">
        <w:rPr>
          <w:rStyle w:val="Strong"/>
          <w:b/>
        </w:rPr>
        <w:t xml:space="preserve">Background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5418"/>
        <w:gridCol w:w="2154"/>
        <w:gridCol w:w="1389"/>
      </w:tblGrid>
      <w:tr w:rsidR="00CC7DAD" w:rsidRPr="004E34FD" w14:paraId="0DC870C3" w14:textId="77777777" w:rsidTr="002D5FA9">
        <w:trPr>
          <w:trHeight w:val="482"/>
        </w:trPr>
        <w:tc>
          <w:tcPr>
            <w:tcW w:w="283" w:type="pct"/>
            <w:shd w:val="clear" w:color="auto" w:fill="E0E0E0"/>
            <w:vAlign w:val="center"/>
          </w:tcPr>
          <w:p w14:paraId="52799AD5" w14:textId="77777777" w:rsidR="00CC7DAD" w:rsidRPr="004E34FD" w:rsidRDefault="00CC7DAD" w:rsidP="00C1010B">
            <w:pPr>
              <w:widowControl/>
              <w:numPr>
                <w:ilvl w:val="0"/>
                <w:numId w:val="48"/>
              </w:numPr>
              <w:tabs>
                <w:tab w:val="num" w:pos="682"/>
              </w:tabs>
              <w:spacing w:line="360" w:lineRule="auto"/>
              <w:jc w:val="both"/>
              <w:rPr>
                <w:b/>
              </w:rPr>
            </w:pPr>
          </w:p>
        </w:tc>
        <w:tc>
          <w:tcPr>
            <w:tcW w:w="4717" w:type="pct"/>
            <w:gridSpan w:val="3"/>
            <w:shd w:val="clear" w:color="auto" w:fill="E0E0E0"/>
            <w:vAlign w:val="center"/>
          </w:tcPr>
          <w:p w14:paraId="1E35B75F" w14:textId="77777777" w:rsidR="00CC7DAD" w:rsidRPr="004E34FD" w:rsidRDefault="00CC7DAD" w:rsidP="002D5FA9">
            <w:pPr>
              <w:spacing w:line="360" w:lineRule="auto"/>
              <w:jc w:val="both"/>
              <w:rPr>
                <w:b/>
                <w:szCs w:val="24"/>
                <w:lang w:val="en-IE"/>
              </w:rPr>
            </w:pPr>
            <w:r w:rsidRPr="004E34FD">
              <w:rPr>
                <w:b/>
                <w:szCs w:val="24"/>
                <w:lang w:val="en-IE"/>
              </w:rPr>
              <w:t xml:space="preserve">Individual </w:t>
            </w:r>
            <w:r>
              <w:rPr>
                <w:b/>
                <w:szCs w:val="24"/>
                <w:lang w:val="en-IE"/>
              </w:rPr>
              <w:t>Patient Details</w:t>
            </w:r>
          </w:p>
        </w:tc>
      </w:tr>
      <w:tr w:rsidR="00CC7DAD" w:rsidRPr="004E34FD" w:rsidDel="00DC6327" w14:paraId="0A30ED07" w14:textId="77777777" w:rsidTr="002771E9">
        <w:tc>
          <w:tcPr>
            <w:tcW w:w="283" w:type="pct"/>
            <w:vMerge w:val="restart"/>
            <w:vAlign w:val="center"/>
          </w:tcPr>
          <w:p w14:paraId="5D9A939F" w14:textId="77777777" w:rsidR="00CC7DAD" w:rsidRPr="004E34FD" w:rsidRDefault="00CC7DAD" w:rsidP="002D5FA9">
            <w:pPr>
              <w:spacing w:line="360" w:lineRule="auto"/>
              <w:jc w:val="both"/>
              <w:rPr>
                <w:b/>
                <w:bCs/>
                <w:szCs w:val="24"/>
                <w:lang w:val="en-IE"/>
              </w:rPr>
            </w:pPr>
          </w:p>
        </w:tc>
        <w:tc>
          <w:tcPr>
            <w:tcW w:w="2852" w:type="pct"/>
            <w:vAlign w:val="center"/>
          </w:tcPr>
          <w:p w14:paraId="0E1E301A" w14:textId="77777777" w:rsidR="00CC7DAD" w:rsidRPr="003569D2" w:rsidRDefault="00CC7DAD" w:rsidP="002D5FA9">
            <w:pPr>
              <w:spacing w:before="0" w:after="0" w:line="360" w:lineRule="auto"/>
              <w:rPr>
                <w:rFonts w:eastAsia="Times New Roman"/>
                <w:i/>
                <w:lang w:val="en-GB" w:eastAsia="en-GB"/>
              </w:rPr>
            </w:pPr>
            <w:r w:rsidRPr="00876449">
              <w:rPr>
                <w:rFonts w:eastAsia="Times New Roman"/>
                <w:lang w:val="en-GB" w:eastAsia="en-GB"/>
              </w:rPr>
              <w:t>PACEC</w:t>
            </w:r>
            <w:r>
              <w:rPr>
                <w:rFonts w:eastAsia="Times New Roman"/>
                <w:lang w:val="en-GB" w:eastAsia="en-GB"/>
              </w:rPr>
              <w:t xml:space="preserve"> Patient / Client Reference (</w:t>
            </w:r>
            <w:r w:rsidRPr="003569D2">
              <w:rPr>
                <w:rFonts w:eastAsia="Times New Roman"/>
                <w:i/>
                <w:lang w:val="en-GB" w:eastAsia="en-GB"/>
              </w:rPr>
              <w:t>this should follow the format: Area; Navigator or Staff Initials; and Number)</w:t>
            </w:r>
            <w:r>
              <w:rPr>
                <w:rStyle w:val="FootnoteReference"/>
                <w:rFonts w:eastAsia="Times New Roman"/>
                <w:i/>
                <w:lang w:val="en-GB" w:eastAsia="en-GB"/>
              </w:rPr>
              <w:footnoteReference w:id="142"/>
            </w:r>
            <w:r>
              <w:t xml:space="preserve"> </w:t>
            </w:r>
          </w:p>
          <w:p w14:paraId="37281A28" w14:textId="77777777" w:rsidR="00CC7DAD" w:rsidRPr="003F0D96" w:rsidRDefault="00CC7DAD" w:rsidP="002D5FA9">
            <w:pPr>
              <w:spacing w:before="0" w:after="0" w:line="360" w:lineRule="auto"/>
              <w:rPr>
                <w:rFonts w:eastAsia="Times New Roman"/>
                <w:lang w:val="en-GB" w:eastAsia="en-GB"/>
              </w:rPr>
            </w:pPr>
            <w:r w:rsidRPr="003F0D96">
              <w:rPr>
                <w:rFonts w:eastAsia="Times New Roman"/>
                <w:b/>
                <w:color w:val="FF0000"/>
                <w:lang w:val="en-GB" w:eastAsia="en-GB"/>
              </w:rPr>
              <w:t>REQUIRED</w:t>
            </w:r>
            <w:r>
              <w:rPr>
                <w:rFonts w:eastAsia="Times New Roman"/>
                <w:b/>
                <w:color w:val="FF0000"/>
                <w:lang w:val="en-GB" w:eastAsia="en-GB"/>
              </w:rPr>
              <w:t xml:space="preserve"> – NOTE THIS SHOULD RELATE TO THE NUMBER FROM THE BASELINE SURVEY</w:t>
            </w:r>
          </w:p>
        </w:tc>
        <w:tc>
          <w:tcPr>
            <w:tcW w:w="1865" w:type="pct"/>
            <w:gridSpan w:val="2"/>
            <w:vAlign w:val="center"/>
          </w:tcPr>
          <w:p w14:paraId="188039AA" w14:textId="77777777" w:rsidR="00CC7DAD" w:rsidRPr="001B6155" w:rsidRDefault="00CC7DAD"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4E34FD" w:rsidDel="00DC6327" w14:paraId="5D3C4AD1" w14:textId="77777777" w:rsidTr="002771E9">
        <w:tc>
          <w:tcPr>
            <w:tcW w:w="283" w:type="pct"/>
            <w:vMerge/>
            <w:vAlign w:val="center"/>
          </w:tcPr>
          <w:p w14:paraId="1201D6D9" w14:textId="77777777" w:rsidR="00CC7DAD" w:rsidRPr="004E34FD" w:rsidRDefault="00CC7DAD" w:rsidP="002D5FA9">
            <w:pPr>
              <w:spacing w:line="360" w:lineRule="auto"/>
              <w:jc w:val="both"/>
              <w:rPr>
                <w:b/>
                <w:bCs/>
                <w:szCs w:val="24"/>
                <w:lang w:val="en-IE"/>
              </w:rPr>
            </w:pPr>
          </w:p>
        </w:tc>
        <w:tc>
          <w:tcPr>
            <w:tcW w:w="2852" w:type="pct"/>
            <w:vAlign w:val="center"/>
          </w:tcPr>
          <w:p w14:paraId="6B9C0A3D" w14:textId="77777777" w:rsidR="00CC7DAD" w:rsidRPr="00876449" w:rsidRDefault="00CC7DAD" w:rsidP="002D5FA9">
            <w:pPr>
              <w:spacing w:before="0" w:after="0" w:line="360" w:lineRule="auto"/>
              <w:rPr>
                <w:rFonts w:eastAsia="Times New Roman"/>
                <w:lang w:val="en-GB" w:eastAsia="en-GB"/>
              </w:rPr>
            </w:pPr>
            <w:r>
              <w:rPr>
                <w:rFonts w:eastAsia="Times New Roman"/>
                <w:lang w:val="en-GB" w:eastAsia="en-GB"/>
              </w:rPr>
              <w:t>Name</w:t>
            </w:r>
          </w:p>
        </w:tc>
        <w:tc>
          <w:tcPr>
            <w:tcW w:w="1865" w:type="pct"/>
            <w:gridSpan w:val="2"/>
            <w:vAlign w:val="center"/>
          </w:tcPr>
          <w:p w14:paraId="5C41A3F8" w14:textId="77777777" w:rsidR="00CC7DAD" w:rsidRPr="001B6155" w:rsidRDefault="00CC7DAD"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4E34FD" w14:paraId="34CBCEFE" w14:textId="77777777" w:rsidTr="002771E9">
        <w:tc>
          <w:tcPr>
            <w:tcW w:w="283" w:type="pct"/>
            <w:vMerge/>
            <w:vAlign w:val="center"/>
          </w:tcPr>
          <w:p w14:paraId="6D0F1914" w14:textId="77777777" w:rsidR="00CC7DAD" w:rsidRPr="004E34FD" w:rsidRDefault="00CC7DAD" w:rsidP="002D5FA9">
            <w:pPr>
              <w:spacing w:line="360" w:lineRule="auto"/>
              <w:jc w:val="both"/>
              <w:rPr>
                <w:b/>
                <w:bCs/>
                <w:szCs w:val="24"/>
                <w:lang w:val="en-IE"/>
              </w:rPr>
            </w:pPr>
          </w:p>
        </w:tc>
        <w:tc>
          <w:tcPr>
            <w:tcW w:w="2852" w:type="pct"/>
            <w:vAlign w:val="center"/>
          </w:tcPr>
          <w:p w14:paraId="7741F658" w14:textId="77777777" w:rsidR="00CC7DAD" w:rsidRPr="00097707" w:rsidRDefault="00CC7DAD" w:rsidP="002D5FA9">
            <w:pPr>
              <w:spacing w:before="0" w:after="0" w:line="360" w:lineRule="auto"/>
              <w:rPr>
                <w:rFonts w:eastAsia="Times New Roman"/>
                <w:lang w:val="en-GB" w:eastAsia="en-GB"/>
              </w:rPr>
            </w:pPr>
            <w:r>
              <w:rPr>
                <w:rFonts w:eastAsia="Times New Roman"/>
                <w:lang w:val="en-GB" w:eastAsia="en-GB"/>
              </w:rPr>
              <w:t xml:space="preserve">Date started on the Social Prescribing Service </w:t>
            </w:r>
          </w:p>
        </w:tc>
        <w:tc>
          <w:tcPr>
            <w:tcW w:w="1865" w:type="pct"/>
            <w:gridSpan w:val="2"/>
            <w:vAlign w:val="center"/>
          </w:tcPr>
          <w:p w14:paraId="38948555" w14:textId="77777777" w:rsidR="00CC7DAD" w:rsidRPr="001B6155" w:rsidRDefault="00CC7DAD"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4E34FD" w14:paraId="4CB1E426" w14:textId="77777777" w:rsidTr="002771E9">
        <w:tc>
          <w:tcPr>
            <w:tcW w:w="283" w:type="pct"/>
            <w:vMerge/>
            <w:vAlign w:val="center"/>
          </w:tcPr>
          <w:p w14:paraId="09D0BA32" w14:textId="77777777" w:rsidR="00CC7DAD" w:rsidRPr="004E34FD" w:rsidRDefault="00CC7DAD" w:rsidP="002D5FA9">
            <w:pPr>
              <w:spacing w:line="360" w:lineRule="auto"/>
              <w:jc w:val="both"/>
              <w:rPr>
                <w:b/>
                <w:bCs/>
                <w:szCs w:val="24"/>
                <w:lang w:val="en-IE"/>
              </w:rPr>
            </w:pPr>
          </w:p>
        </w:tc>
        <w:tc>
          <w:tcPr>
            <w:tcW w:w="2852" w:type="pct"/>
            <w:vAlign w:val="center"/>
          </w:tcPr>
          <w:p w14:paraId="2783D46D" w14:textId="77777777" w:rsidR="00CC7DAD" w:rsidRDefault="00CC7DAD" w:rsidP="002D5FA9">
            <w:pPr>
              <w:spacing w:before="0" w:after="0" w:line="360" w:lineRule="auto"/>
              <w:rPr>
                <w:rFonts w:eastAsia="Times New Roman"/>
                <w:lang w:val="en-GB" w:eastAsia="en-GB"/>
              </w:rPr>
            </w:pPr>
            <w:r>
              <w:rPr>
                <w:rFonts w:eastAsia="Times New Roman"/>
                <w:lang w:val="en-GB" w:eastAsia="en-GB"/>
              </w:rPr>
              <w:t xml:space="preserve">Referral Agent (e.g. GP / self-referral) </w:t>
            </w:r>
          </w:p>
        </w:tc>
        <w:tc>
          <w:tcPr>
            <w:tcW w:w="1865" w:type="pct"/>
            <w:gridSpan w:val="2"/>
            <w:vAlign w:val="center"/>
          </w:tcPr>
          <w:p w14:paraId="07791F49" w14:textId="77777777" w:rsidR="00CC7DAD" w:rsidRPr="001B6155" w:rsidRDefault="00CC7DAD" w:rsidP="002D5FA9">
            <w:pPr>
              <w:spacing w:line="360" w:lineRule="auto"/>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4E34FD" w14:paraId="1D0285DD" w14:textId="77777777" w:rsidTr="002D5FA9">
        <w:trPr>
          <w:trHeight w:val="296"/>
        </w:trPr>
        <w:tc>
          <w:tcPr>
            <w:tcW w:w="283" w:type="pct"/>
            <w:shd w:val="clear" w:color="auto" w:fill="E0E0E0"/>
            <w:vAlign w:val="center"/>
          </w:tcPr>
          <w:p w14:paraId="59DA763E" w14:textId="23B1EDB5" w:rsidR="00CC7DAD" w:rsidRPr="004E34FD" w:rsidRDefault="00CC7DAD" w:rsidP="00C1010B">
            <w:pPr>
              <w:widowControl/>
              <w:numPr>
                <w:ilvl w:val="0"/>
                <w:numId w:val="48"/>
              </w:numPr>
              <w:tabs>
                <w:tab w:val="num" w:pos="682"/>
              </w:tabs>
              <w:spacing w:before="40" w:after="0" w:line="480" w:lineRule="auto"/>
              <w:jc w:val="both"/>
              <w:rPr>
                <w:b/>
              </w:rPr>
            </w:pPr>
            <w:r w:rsidRPr="004E34FD">
              <w:rPr>
                <w:b/>
                <w:bCs/>
                <w:szCs w:val="24"/>
                <w:lang w:val="en-IE"/>
              </w:rPr>
              <w:tab/>
            </w:r>
          </w:p>
        </w:tc>
        <w:tc>
          <w:tcPr>
            <w:tcW w:w="4717" w:type="pct"/>
            <w:gridSpan w:val="3"/>
            <w:tcBorders>
              <w:bottom w:val="single" w:sz="4" w:space="0" w:color="auto"/>
            </w:tcBorders>
            <w:shd w:val="clear" w:color="auto" w:fill="E0E0E0"/>
            <w:vAlign w:val="center"/>
          </w:tcPr>
          <w:p w14:paraId="2CF70EE1" w14:textId="77777777" w:rsidR="00CC7DAD" w:rsidRPr="004E34FD" w:rsidRDefault="00CC7DAD" w:rsidP="002D5FA9">
            <w:pPr>
              <w:spacing w:before="40" w:after="0" w:line="480" w:lineRule="auto"/>
              <w:jc w:val="both"/>
              <w:rPr>
                <w:b/>
                <w:szCs w:val="24"/>
                <w:lang w:val="en-IE"/>
              </w:rPr>
            </w:pPr>
            <w:r>
              <w:rPr>
                <w:b/>
                <w:szCs w:val="24"/>
                <w:lang w:val="en-IE"/>
              </w:rPr>
              <w:t>Please confirm which service you have been supported by:</w:t>
            </w:r>
            <w:r w:rsidRPr="004E34FD">
              <w:rPr>
                <w:b/>
                <w:szCs w:val="24"/>
                <w:lang w:val="en-IE"/>
              </w:rPr>
              <w:t xml:space="preserve"> </w:t>
            </w:r>
            <w:r w:rsidRPr="004E34FD">
              <w:rPr>
                <w:i/>
                <w:szCs w:val="24"/>
                <w:lang w:val="en-IE"/>
              </w:rPr>
              <w:t>Tick one</w:t>
            </w:r>
          </w:p>
        </w:tc>
      </w:tr>
      <w:tr w:rsidR="00CC7DAD" w:rsidRPr="004E34FD" w:rsidDel="00DC6327" w14:paraId="56B1167A" w14:textId="77777777" w:rsidTr="002D5FA9">
        <w:tc>
          <w:tcPr>
            <w:tcW w:w="283" w:type="pct"/>
            <w:vMerge w:val="restart"/>
            <w:vAlign w:val="center"/>
          </w:tcPr>
          <w:p w14:paraId="04D624A3"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26484148"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Basildon and Brentwood (Social Prescriber in GP Hub)</w:t>
            </w:r>
          </w:p>
        </w:tc>
        <w:tc>
          <w:tcPr>
            <w:tcW w:w="731" w:type="pct"/>
            <w:tcBorders>
              <w:left w:val="single" w:sz="4" w:space="0" w:color="auto"/>
            </w:tcBorders>
            <w:vAlign w:val="center"/>
          </w:tcPr>
          <w:p w14:paraId="3CFD263F" w14:textId="77777777" w:rsidR="00CC7DAD" w:rsidRPr="004E34FD" w:rsidDel="00DC6327"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rsidDel="00DC6327" w14:paraId="4543177B" w14:textId="77777777" w:rsidTr="002D5FA9">
        <w:tc>
          <w:tcPr>
            <w:tcW w:w="283" w:type="pct"/>
            <w:vMerge/>
            <w:vAlign w:val="center"/>
          </w:tcPr>
          <w:p w14:paraId="62B82D1F"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4EA7E031"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Castle Point and Rochford (Social Prescriber in GP Hub)</w:t>
            </w:r>
          </w:p>
        </w:tc>
        <w:tc>
          <w:tcPr>
            <w:tcW w:w="731" w:type="pct"/>
            <w:tcBorders>
              <w:left w:val="single" w:sz="4" w:space="0" w:color="auto"/>
            </w:tcBorders>
          </w:tcPr>
          <w:p w14:paraId="1950A127" w14:textId="77777777" w:rsidR="00CC7DAD" w:rsidRPr="004E34FD"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240F5378" w14:textId="77777777" w:rsidTr="002D5FA9">
        <w:tc>
          <w:tcPr>
            <w:tcW w:w="283" w:type="pct"/>
            <w:vMerge/>
            <w:vAlign w:val="center"/>
          </w:tcPr>
          <w:p w14:paraId="39E89A02"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2B690DC7"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North East Essex - Colchester (My Social Prescription - Social Prescription in CVS)</w:t>
            </w:r>
          </w:p>
        </w:tc>
        <w:tc>
          <w:tcPr>
            <w:tcW w:w="731" w:type="pct"/>
            <w:tcBorders>
              <w:left w:val="single" w:sz="4" w:space="0" w:color="auto"/>
            </w:tcBorders>
          </w:tcPr>
          <w:p w14:paraId="784256F8" w14:textId="77777777" w:rsidR="00CC7DAD" w:rsidRPr="004E34FD"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6401785D" w14:textId="77777777" w:rsidTr="002D5FA9">
        <w:tc>
          <w:tcPr>
            <w:tcW w:w="283" w:type="pct"/>
            <w:vMerge/>
            <w:vAlign w:val="center"/>
          </w:tcPr>
          <w:p w14:paraId="7B01E14E"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122D6ED1"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 xml:space="preserve">North East </w:t>
            </w:r>
            <w:r>
              <w:rPr>
                <w:rFonts w:eastAsia="Times New Roman"/>
                <w:lang w:val="en-GB" w:eastAsia="en-GB"/>
              </w:rPr>
              <w:t xml:space="preserve">Essex - </w:t>
            </w:r>
            <w:r w:rsidRPr="00876449">
              <w:rPr>
                <w:rFonts w:eastAsia="Times New Roman"/>
                <w:lang w:val="en-GB" w:eastAsia="en-GB"/>
              </w:rPr>
              <w:t>Tendring</w:t>
            </w:r>
            <w:r>
              <w:rPr>
                <w:rFonts w:eastAsia="Times New Roman"/>
                <w:lang w:val="en-GB" w:eastAsia="en-GB"/>
              </w:rPr>
              <w:t xml:space="preserve"> </w:t>
            </w:r>
            <w:r w:rsidRPr="00097707">
              <w:rPr>
                <w:rFonts w:eastAsia="Times New Roman"/>
                <w:lang w:val="en-GB" w:eastAsia="en-GB"/>
              </w:rPr>
              <w:t>(Mental Health Hub)</w:t>
            </w:r>
          </w:p>
        </w:tc>
        <w:tc>
          <w:tcPr>
            <w:tcW w:w="731" w:type="pct"/>
            <w:tcBorders>
              <w:left w:val="single" w:sz="4" w:space="0" w:color="auto"/>
            </w:tcBorders>
            <w:vAlign w:val="center"/>
          </w:tcPr>
          <w:p w14:paraId="7400F69A" w14:textId="77777777" w:rsidR="00CC7DAD" w:rsidRPr="004E34FD" w:rsidDel="00DC6327"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6EEE3DC0" w14:textId="77777777" w:rsidTr="002D5FA9">
        <w:tc>
          <w:tcPr>
            <w:tcW w:w="283" w:type="pct"/>
            <w:vMerge/>
            <w:vAlign w:val="center"/>
          </w:tcPr>
          <w:p w14:paraId="277382E5"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15714F61"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Mid Essex (Community Builders / Social Prescribing Champions and intensive support by PROVIDE)</w:t>
            </w:r>
          </w:p>
        </w:tc>
        <w:tc>
          <w:tcPr>
            <w:tcW w:w="731" w:type="pct"/>
            <w:tcBorders>
              <w:left w:val="single" w:sz="4" w:space="0" w:color="auto"/>
            </w:tcBorders>
          </w:tcPr>
          <w:p w14:paraId="36FEFAF4" w14:textId="77777777" w:rsidR="00CC7DAD" w:rsidRPr="004E34FD"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3EFDE348" w14:textId="77777777" w:rsidTr="002D5FA9">
        <w:tc>
          <w:tcPr>
            <w:tcW w:w="283" w:type="pct"/>
            <w:vMerge/>
            <w:vAlign w:val="center"/>
          </w:tcPr>
          <w:p w14:paraId="44C3EA28" w14:textId="77777777" w:rsidR="00CC7DAD" w:rsidRPr="004E34FD" w:rsidRDefault="00CC7DAD" w:rsidP="002D5FA9">
            <w:pPr>
              <w:spacing w:before="40" w:after="0" w:line="480" w:lineRule="auto"/>
              <w:jc w:val="both"/>
              <w:rPr>
                <w:b/>
                <w:bCs/>
                <w:szCs w:val="24"/>
                <w:lang w:val="en-IE"/>
              </w:rPr>
            </w:pPr>
          </w:p>
        </w:tc>
        <w:tc>
          <w:tcPr>
            <w:tcW w:w="3986" w:type="pct"/>
            <w:gridSpan w:val="2"/>
            <w:tcBorders>
              <w:right w:val="single" w:sz="4" w:space="0" w:color="auto"/>
            </w:tcBorders>
            <w:vAlign w:val="center"/>
          </w:tcPr>
          <w:p w14:paraId="2AFAE0AA" w14:textId="77777777" w:rsidR="00CC7DAD" w:rsidRPr="00097707" w:rsidRDefault="00CC7DAD" w:rsidP="002D5FA9">
            <w:pPr>
              <w:spacing w:before="0" w:after="0" w:line="360" w:lineRule="auto"/>
              <w:rPr>
                <w:rFonts w:eastAsia="Times New Roman"/>
                <w:lang w:val="en-GB" w:eastAsia="en-GB"/>
              </w:rPr>
            </w:pPr>
            <w:r w:rsidRPr="00097707">
              <w:rPr>
                <w:rFonts w:eastAsia="Times New Roman"/>
                <w:lang w:val="en-GB" w:eastAsia="en-GB"/>
              </w:rPr>
              <w:t>West Essex (Social Prescriber in GP Hub - Personal Independence Planners)</w:t>
            </w:r>
          </w:p>
        </w:tc>
        <w:tc>
          <w:tcPr>
            <w:tcW w:w="731" w:type="pct"/>
            <w:tcBorders>
              <w:left w:val="single" w:sz="4" w:space="0" w:color="auto"/>
            </w:tcBorders>
          </w:tcPr>
          <w:p w14:paraId="7589B551" w14:textId="77777777" w:rsidR="00CC7DAD" w:rsidRPr="004E34FD" w:rsidRDefault="00CC7DAD" w:rsidP="002D5FA9">
            <w:pPr>
              <w:spacing w:before="120" w:after="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bl>
    <w:p w14:paraId="2D050890" w14:textId="77777777" w:rsidR="00CC7DAD" w:rsidRPr="004E34FD" w:rsidRDefault="00CC7DAD" w:rsidP="00CC7DAD">
      <w:pPr>
        <w:tabs>
          <w:tab w:val="left" w:pos="645"/>
          <w:tab w:val="left" w:pos="8217"/>
        </w:tabs>
        <w:spacing w:before="120" w:after="0" w:line="480" w:lineRule="auto"/>
        <w:ind w:left="108"/>
        <w:rPr>
          <w:b/>
          <w:szCs w:val="24"/>
          <w:lang w:val="en-IE"/>
        </w:rPr>
      </w:pPr>
      <w:r w:rsidRPr="004E34FD">
        <w:rPr>
          <w:b/>
          <w:bCs/>
          <w:szCs w:val="24"/>
          <w:lang w:val="en-IE"/>
        </w:rPr>
        <w:tab/>
      </w:r>
      <w:r w:rsidRPr="00097707">
        <w:rPr>
          <w:rFonts w:eastAsia="Times New Roman"/>
          <w:lang w:val="en-GB" w:eastAsia="en-GB"/>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CC7DAD" w:rsidRPr="004E34FD" w14:paraId="3D35E8B3" w14:textId="77777777" w:rsidTr="002771E9">
        <w:trPr>
          <w:trHeight w:val="296"/>
          <w:tblHeader/>
        </w:trPr>
        <w:tc>
          <w:tcPr>
            <w:tcW w:w="283" w:type="pct"/>
            <w:shd w:val="clear" w:color="auto" w:fill="E0E0E0"/>
            <w:vAlign w:val="center"/>
          </w:tcPr>
          <w:p w14:paraId="35265A20" w14:textId="77777777" w:rsidR="00CC7DAD" w:rsidRPr="004E34FD" w:rsidRDefault="00CC7DAD" w:rsidP="00C1010B">
            <w:pPr>
              <w:widowControl/>
              <w:numPr>
                <w:ilvl w:val="0"/>
                <w:numId w:val="48"/>
              </w:numPr>
              <w:tabs>
                <w:tab w:val="num" w:pos="682"/>
              </w:tabs>
              <w:spacing w:before="40" w:after="40" w:line="276" w:lineRule="auto"/>
              <w:jc w:val="both"/>
              <w:rPr>
                <w:b/>
              </w:rPr>
            </w:pPr>
          </w:p>
        </w:tc>
        <w:tc>
          <w:tcPr>
            <w:tcW w:w="4717" w:type="pct"/>
            <w:gridSpan w:val="2"/>
            <w:tcBorders>
              <w:bottom w:val="single" w:sz="4" w:space="0" w:color="auto"/>
            </w:tcBorders>
            <w:shd w:val="clear" w:color="auto" w:fill="E0E0E0"/>
            <w:vAlign w:val="center"/>
          </w:tcPr>
          <w:p w14:paraId="1B5C40FD" w14:textId="77777777" w:rsidR="00CC7DAD" w:rsidRPr="004E34FD" w:rsidRDefault="00CC7DAD" w:rsidP="002D5FA9">
            <w:pPr>
              <w:spacing w:before="40" w:after="40" w:line="276" w:lineRule="auto"/>
              <w:jc w:val="both"/>
              <w:rPr>
                <w:b/>
                <w:szCs w:val="24"/>
                <w:lang w:val="en-IE"/>
              </w:rPr>
            </w:pPr>
            <w:r w:rsidRPr="00EA6C84">
              <w:rPr>
                <w:b/>
              </w:rPr>
              <w:t>Which ethnic group do you belong to?</w:t>
            </w:r>
            <w:r>
              <w:t xml:space="preserve"> </w:t>
            </w:r>
            <w:r w:rsidRPr="001B6155">
              <w:rPr>
                <w:i/>
                <w:szCs w:val="24"/>
                <w:lang w:val="en-IE"/>
              </w:rPr>
              <w:t>Choose one ethnic group that best describes your ethnic group or background</w:t>
            </w:r>
          </w:p>
        </w:tc>
      </w:tr>
      <w:tr w:rsidR="00CC7DAD" w:rsidRPr="004E34FD" w:rsidDel="00DC6327" w14:paraId="2BCC3527" w14:textId="77777777" w:rsidTr="002D5FA9">
        <w:tc>
          <w:tcPr>
            <w:tcW w:w="283" w:type="pct"/>
            <w:vMerge w:val="restart"/>
            <w:vAlign w:val="center"/>
          </w:tcPr>
          <w:p w14:paraId="582CFD1B" w14:textId="77777777" w:rsidR="00CC7DAD" w:rsidRPr="004E34FD" w:rsidRDefault="00CC7DAD"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50F6EC18" w14:textId="77777777" w:rsidR="00CC7DAD" w:rsidRPr="004E34FD" w:rsidDel="00DC6327" w:rsidRDefault="00CC7DAD" w:rsidP="002D5FA9">
            <w:pPr>
              <w:spacing w:before="120" w:after="120" w:line="276" w:lineRule="auto"/>
              <w:rPr>
                <w:b/>
                <w:szCs w:val="24"/>
                <w:lang w:val="en-IE"/>
              </w:rPr>
            </w:pPr>
            <w:r w:rsidRPr="001B6155">
              <w:t>White</w:t>
            </w:r>
            <w:r>
              <w:t>:</w:t>
            </w:r>
          </w:p>
        </w:tc>
      </w:tr>
      <w:tr w:rsidR="00CC7DAD" w:rsidRPr="004E34FD" w:rsidDel="00DC6327" w14:paraId="516BE2EA" w14:textId="77777777" w:rsidTr="002D5FA9">
        <w:tc>
          <w:tcPr>
            <w:tcW w:w="283" w:type="pct"/>
            <w:vMerge/>
            <w:vAlign w:val="center"/>
          </w:tcPr>
          <w:p w14:paraId="541FEA3D"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676A1487"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English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Welsh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Scottish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Northern Irish</w:t>
            </w:r>
            <w:r>
              <w:rPr>
                <w:rFonts w:eastAsia="Times New Roman"/>
                <w:lang w:val="en-GB" w:eastAsia="en-GB"/>
              </w:rPr>
              <w:t xml:space="preserve"> </w:t>
            </w:r>
            <w:r w:rsidRPr="001B6155">
              <w:rPr>
                <w:rFonts w:eastAsia="Times New Roman"/>
                <w:lang w:val="en-GB" w:eastAsia="en-GB"/>
              </w:rPr>
              <w:t>/</w:t>
            </w:r>
            <w:r>
              <w:rPr>
                <w:rFonts w:eastAsia="Times New Roman"/>
                <w:lang w:val="en-GB" w:eastAsia="en-GB"/>
              </w:rPr>
              <w:t xml:space="preserve"> </w:t>
            </w:r>
            <w:r w:rsidRPr="001B6155">
              <w:rPr>
                <w:rFonts w:eastAsia="Times New Roman"/>
                <w:lang w:val="en-GB" w:eastAsia="en-GB"/>
              </w:rPr>
              <w:t>British</w:t>
            </w:r>
          </w:p>
        </w:tc>
        <w:tc>
          <w:tcPr>
            <w:tcW w:w="731" w:type="pct"/>
            <w:tcBorders>
              <w:left w:val="single" w:sz="4" w:space="0" w:color="auto"/>
            </w:tcBorders>
          </w:tcPr>
          <w:p w14:paraId="6BA26E3C" w14:textId="77777777" w:rsidR="00CC7DAD" w:rsidRDefault="00CC7DAD"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CC7DAD" w:rsidRPr="004E34FD" w14:paraId="24AF02C6" w14:textId="77777777" w:rsidTr="002D5FA9">
        <w:tc>
          <w:tcPr>
            <w:tcW w:w="283" w:type="pct"/>
            <w:vMerge/>
            <w:vAlign w:val="center"/>
          </w:tcPr>
          <w:p w14:paraId="32ED133C"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4C07B1AC" w14:textId="77777777" w:rsidR="00CC7DAD" w:rsidRPr="001B6155" w:rsidRDefault="00CC7DAD" w:rsidP="002D5FA9">
            <w:pPr>
              <w:spacing w:before="0" w:after="0" w:line="276" w:lineRule="auto"/>
              <w:ind w:left="360" w:hanging="360"/>
              <w:rPr>
                <w:rFonts w:eastAsia="Times New Roman"/>
                <w:lang w:val="en-GB" w:eastAsia="en-GB"/>
              </w:rPr>
            </w:pPr>
            <w:r w:rsidRPr="001B6155">
              <w:rPr>
                <w:rFonts w:eastAsia="Times New Roman"/>
                <w:lang w:val="en-GB" w:eastAsia="en-GB"/>
              </w:rPr>
              <w:t>Irish</w:t>
            </w:r>
          </w:p>
        </w:tc>
        <w:tc>
          <w:tcPr>
            <w:tcW w:w="731" w:type="pct"/>
            <w:tcBorders>
              <w:left w:val="single" w:sz="4" w:space="0" w:color="auto"/>
            </w:tcBorders>
          </w:tcPr>
          <w:p w14:paraId="5E37FB42" w14:textId="77777777" w:rsidR="00CC7DAD" w:rsidRDefault="00CC7DAD"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CC7DAD" w:rsidRPr="004E34FD" w14:paraId="25223B72" w14:textId="77777777" w:rsidTr="002D5FA9">
        <w:tc>
          <w:tcPr>
            <w:tcW w:w="283" w:type="pct"/>
            <w:vMerge/>
            <w:vAlign w:val="center"/>
          </w:tcPr>
          <w:p w14:paraId="690A19B4"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4388FBF0" w14:textId="77777777" w:rsidR="00CC7DAD" w:rsidRPr="001B6155" w:rsidRDefault="00CC7DAD" w:rsidP="002D5FA9">
            <w:pPr>
              <w:spacing w:before="0" w:after="0" w:line="276" w:lineRule="auto"/>
              <w:ind w:left="360" w:hanging="360"/>
              <w:rPr>
                <w:rFonts w:eastAsia="Times New Roman"/>
                <w:lang w:val="en-GB" w:eastAsia="en-GB"/>
              </w:rPr>
            </w:pPr>
            <w:r w:rsidRPr="001B6155">
              <w:rPr>
                <w:rFonts w:eastAsia="Times New Roman"/>
                <w:lang w:val="en-GB" w:eastAsia="en-GB"/>
              </w:rPr>
              <w:t>Gypsy or Irish Traveller</w:t>
            </w:r>
          </w:p>
        </w:tc>
        <w:tc>
          <w:tcPr>
            <w:tcW w:w="731" w:type="pct"/>
            <w:tcBorders>
              <w:left w:val="single" w:sz="4" w:space="0" w:color="auto"/>
            </w:tcBorders>
          </w:tcPr>
          <w:p w14:paraId="7935EF17" w14:textId="77777777" w:rsidR="00CC7DAD" w:rsidRDefault="00CC7DAD"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CC7DAD" w:rsidRPr="004E34FD" w14:paraId="1DDA0EA2" w14:textId="77777777" w:rsidTr="002D5FA9">
        <w:tc>
          <w:tcPr>
            <w:tcW w:w="283" w:type="pct"/>
            <w:vMerge/>
            <w:vAlign w:val="center"/>
          </w:tcPr>
          <w:p w14:paraId="2D4F4215"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54A6E5E9" w14:textId="77777777" w:rsidR="00CC7DAD" w:rsidRPr="001B6155" w:rsidRDefault="00CC7DAD" w:rsidP="002D5FA9">
            <w:pPr>
              <w:spacing w:before="0" w:after="0" w:line="276" w:lineRule="auto"/>
              <w:ind w:left="360" w:hanging="360"/>
              <w:rPr>
                <w:rFonts w:eastAsia="Times New Roman"/>
                <w:lang w:val="en-GB" w:eastAsia="en-GB"/>
              </w:rPr>
            </w:pPr>
            <w:r w:rsidRPr="001B6155">
              <w:rPr>
                <w:rFonts w:eastAsia="Times New Roman"/>
                <w:lang w:val="en-GB" w:eastAsia="en-GB"/>
              </w:rPr>
              <w:t>Other White</w:t>
            </w:r>
          </w:p>
        </w:tc>
        <w:tc>
          <w:tcPr>
            <w:tcW w:w="731" w:type="pct"/>
            <w:tcBorders>
              <w:left w:val="single" w:sz="4" w:space="0" w:color="auto"/>
            </w:tcBorders>
          </w:tcPr>
          <w:p w14:paraId="21CF0406" w14:textId="77777777" w:rsidR="00CC7DAD" w:rsidRDefault="00CC7DAD" w:rsidP="002D5FA9">
            <w:pPr>
              <w:spacing w:line="276" w:lineRule="auto"/>
              <w:jc w:val="center"/>
            </w:pPr>
            <w:r w:rsidRPr="007210DD">
              <w:rPr>
                <w:b/>
                <w:szCs w:val="24"/>
                <w:lang w:val="en-IE"/>
              </w:rPr>
              <w:fldChar w:fldCharType="begin">
                <w:ffData>
                  <w:name w:val="Check1"/>
                  <w:enabled/>
                  <w:calcOnExit w:val="0"/>
                  <w:checkBox>
                    <w:sizeAuto/>
                    <w:default w:val="0"/>
                  </w:checkBox>
                </w:ffData>
              </w:fldChar>
            </w:r>
            <w:r w:rsidRPr="007210DD">
              <w:rPr>
                <w:b/>
                <w:szCs w:val="24"/>
                <w:lang w:val="en-IE"/>
              </w:rPr>
              <w:instrText xml:space="preserve"> FORMCHECKBOX </w:instrText>
            </w:r>
            <w:r w:rsidR="00160C04">
              <w:rPr>
                <w:b/>
                <w:szCs w:val="24"/>
                <w:lang w:val="en-IE"/>
              </w:rPr>
            </w:r>
            <w:r w:rsidR="00160C04">
              <w:rPr>
                <w:b/>
                <w:szCs w:val="24"/>
                <w:lang w:val="en-IE"/>
              </w:rPr>
              <w:fldChar w:fldCharType="separate"/>
            </w:r>
            <w:r w:rsidRPr="007210DD">
              <w:rPr>
                <w:b/>
                <w:szCs w:val="24"/>
                <w:lang w:val="en-IE"/>
              </w:rPr>
              <w:fldChar w:fldCharType="end"/>
            </w:r>
          </w:p>
        </w:tc>
      </w:tr>
      <w:tr w:rsidR="00CC7DAD" w:rsidRPr="004E34FD" w14:paraId="1272D285" w14:textId="77777777" w:rsidTr="002D5FA9">
        <w:tc>
          <w:tcPr>
            <w:tcW w:w="283" w:type="pct"/>
            <w:vMerge/>
            <w:vAlign w:val="center"/>
          </w:tcPr>
          <w:p w14:paraId="51701605" w14:textId="77777777" w:rsidR="00CC7DAD" w:rsidRPr="004E34FD" w:rsidRDefault="00CC7DAD"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5409AE5C" w14:textId="77777777" w:rsidR="00CC7DAD" w:rsidRPr="004E34FD" w:rsidRDefault="00CC7DAD" w:rsidP="002D5FA9">
            <w:pPr>
              <w:spacing w:before="120" w:after="120" w:line="276" w:lineRule="auto"/>
              <w:rPr>
                <w:b/>
                <w:szCs w:val="24"/>
                <w:lang w:val="en-IE"/>
              </w:rPr>
            </w:pPr>
            <w:r w:rsidRPr="001B6155">
              <w:t>Mixed/multiple ethnic group:</w:t>
            </w:r>
          </w:p>
        </w:tc>
      </w:tr>
      <w:tr w:rsidR="00CC7DAD" w:rsidRPr="004E34FD" w14:paraId="22D5EC31" w14:textId="77777777" w:rsidTr="002D5FA9">
        <w:tc>
          <w:tcPr>
            <w:tcW w:w="283" w:type="pct"/>
            <w:vMerge/>
            <w:vAlign w:val="center"/>
          </w:tcPr>
          <w:p w14:paraId="5A02FCA6"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3FA35F52"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White and Black Caribbean</w:t>
            </w:r>
          </w:p>
        </w:tc>
        <w:tc>
          <w:tcPr>
            <w:tcW w:w="731" w:type="pct"/>
            <w:tcBorders>
              <w:left w:val="single" w:sz="4" w:space="0" w:color="auto"/>
            </w:tcBorders>
          </w:tcPr>
          <w:p w14:paraId="798C9FA8" w14:textId="77777777" w:rsidR="00CC7DAD" w:rsidRDefault="00CC7DAD"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CC7DAD" w:rsidRPr="004E34FD" w14:paraId="078475F7" w14:textId="77777777" w:rsidTr="002D5FA9">
        <w:tc>
          <w:tcPr>
            <w:tcW w:w="283" w:type="pct"/>
            <w:vMerge/>
            <w:vAlign w:val="center"/>
          </w:tcPr>
          <w:p w14:paraId="03D2C688"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481701C2"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White and Black African</w:t>
            </w:r>
          </w:p>
        </w:tc>
        <w:tc>
          <w:tcPr>
            <w:tcW w:w="731" w:type="pct"/>
            <w:tcBorders>
              <w:left w:val="single" w:sz="4" w:space="0" w:color="auto"/>
            </w:tcBorders>
          </w:tcPr>
          <w:p w14:paraId="35AB4BB7" w14:textId="77777777" w:rsidR="00CC7DAD" w:rsidRDefault="00CC7DAD"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CC7DAD" w:rsidRPr="004E34FD" w14:paraId="499CAE00" w14:textId="77777777" w:rsidTr="002D5FA9">
        <w:tc>
          <w:tcPr>
            <w:tcW w:w="283" w:type="pct"/>
            <w:vMerge/>
            <w:vAlign w:val="center"/>
          </w:tcPr>
          <w:p w14:paraId="7FAE26F8"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5719F8AB"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White and Asian</w:t>
            </w:r>
          </w:p>
        </w:tc>
        <w:tc>
          <w:tcPr>
            <w:tcW w:w="731" w:type="pct"/>
            <w:tcBorders>
              <w:left w:val="single" w:sz="4" w:space="0" w:color="auto"/>
            </w:tcBorders>
          </w:tcPr>
          <w:p w14:paraId="1A65ACA3" w14:textId="77777777" w:rsidR="00CC7DAD" w:rsidRDefault="00CC7DAD"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CC7DAD" w:rsidRPr="004E34FD" w14:paraId="3DFDC871" w14:textId="77777777" w:rsidTr="002D5FA9">
        <w:tc>
          <w:tcPr>
            <w:tcW w:w="283" w:type="pct"/>
            <w:vMerge/>
            <w:vAlign w:val="center"/>
          </w:tcPr>
          <w:p w14:paraId="1ACC061A"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2012CD98"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Other Mixed</w:t>
            </w:r>
          </w:p>
        </w:tc>
        <w:tc>
          <w:tcPr>
            <w:tcW w:w="731" w:type="pct"/>
            <w:tcBorders>
              <w:left w:val="single" w:sz="4" w:space="0" w:color="auto"/>
            </w:tcBorders>
          </w:tcPr>
          <w:p w14:paraId="0C65F1E6" w14:textId="77777777" w:rsidR="00CC7DAD" w:rsidRDefault="00CC7DAD" w:rsidP="002D5FA9">
            <w:pPr>
              <w:spacing w:line="276" w:lineRule="auto"/>
              <w:jc w:val="center"/>
            </w:pPr>
            <w:r w:rsidRPr="001570F6">
              <w:rPr>
                <w:b/>
                <w:szCs w:val="24"/>
                <w:lang w:val="en-IE"/>
              </w:rPr>
              <w:fldChar w:fldCharType="begin">
                <w:ffData>
                  <w:name w:val="Check1"/>
                  <w:enabled/>
                  <w:calcOnExit w:val="0"/>
                  <w:checkBox>
                    <w:sizeAuto/>
                    <w:default w:val="0"/>
                  </w:checkBox>
                </w:ffData>
              </w:fldChar>
            </w:r>
            <w:r w:rsidRPr="001570F6">
              <w:rPr>
                <w:b/>
                <w:szCs w:val="24"/>
                <w:lang w:val="en-IE"/>
              </w:rPr>
              <w:instrText xml:space="preserve"> FORMCHECKBOX </w:instrText>
            </w:r>
            <w:r w:rsidR="00160C04">
              <w:rPr>
                <w:b/>
                <w:szCs w:val="24"/>
                <w:lang w:val="en-IE"/>
              </w:rPr>
            </w:r>
            <w:r w:rsidR="00160C04">
              <w:rPr>
                <w:b/>
                <w:szCs w:val="24"/>
                <w:lang w:val="en-IE"/>
              </w:rPr>
              <w:fldChar w:fldCharType="separate"/>
            </w:r>
            <w:r w:rsidRPr="001570F6">
              <w:rPr>
                <w:b/>
                <w:szCs w:val="24"/>
                <w:lang w:val="en-IE"/>
              </w:rPr>
              <w:fldChar w:fldCharType="end"/>
            </w:r>
          </w:p>
        </w:tc>
      </w:tr>
      <w:tr w:rsidR="00CC7DAD" w:rsidRPr="004E34FD" w14:paraId="24C8B02A" w14:textId="77777777" w:rsidTr="002D5FA9">
        <w:tc>
          <w:tcPr>
            <w:tcW w:w="283" w:type="pct"/>
            <w:vMerge/>
            <w:vAlign w:val="center"/>
          </w:tcPr>
          <w:p w14:paraId="4BFF6041" w14:textId="77777777" w:rsidR="00CC7DAD" w:rsidRPr="004E34FD" w:rsidRDefault="00CC7DAD"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1F1C8936" w14:textId="77777777" w:rsidR="00CC7DAD" w:rsidRPr="004E34FD" w:rsidRDefault="00CC7DAD" w:rsidP="002D5FA9">
            <w:pPr>
              <w:spacing w:before="120" w:after="120" w:line="276" w:lineRule="auto"/>
              <w:rPr>
                <w:b/>
                <w:szCs w:val="24"/>
                <w:lang w:val="en-IE"/>
              </w:rPr>
            </w:pPr>
            <w:r w:rsidRPr="001B6155">
              <w:t>Asian/Asian British:</w:t>
            </w:r>
          </w:p>
        </w:tc>
      </w:tr>
      <w:tr w:rsidR="00CC7DAD" w:rsidRPr="004E34FD" w14:paraId="3DF3AC39" w14:textId="77777777" w:rsidTr="002D5FA9">
        <w:tc>
          <w:tcPr>
            <w:tcW w:w="283" w:type="pct"/>
            <w:vMerge/>
            <w:vAlign w:val="center"/>
          </w:tcPr>
          <w:p w14:paraId="421B030A"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215070EC"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Indian</w:t>
            </w:r>
          </w:p>
        </w:tc>
        <w:tc>
          <w:tcPr>
            <w:tcW w:w="731" w:type="pct"/>
            <w:tcBorders>
              <w:left w:val="single" w:sz="4" w:space="0" w:color="auto"/>
            </w:tcBorders>
          </w:tcPr>
          <w:p w14:paraId="2608E2DB" w14:textId="77777777" w:rsidR="00CC7DAD" w:rsidRDefault="00CC7DAD"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CC7DAD" w:rsidRPr="004E34FD" w14:paraId="0569D4FE" w14:textId="77777777" w:rsidTr="002D5FA9">
        <w:tc>
          <w:tcPr>
            <w:tcW w:w="283" w:type="pct"/>
            <w:vMerge/>
            <w:vAlign w:val="center"/>
          </w:tcPr>
          <w:p w14:paraId="4822D72E"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7BA5DCB2"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Pakistani</w:t>
            </w:r>
          </w:p>
        </w:tc>
        <w:tc>
          <w:tcPr>
            <w:tcW w:w="731" w:type="pct"/>
            <w:tcBorders>
              <w:left w:val="single" w:sz="4" w:space="0" w:color="auto"/>
            </w:tcBorders>
          </w:tcPr>
          <w:p w14:paraId="25108277" w14:textId="77777777" w:rsidR="00CC7DAD" w:rsidRDefault="00CC7DAD"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CC7DAD" w:rsidRPr="004E34FD" w14:paraId="13705D81" w14:textId="77777777" w:rsidTr="002D5FA9">
        <w:tc>
          <w:tcPr>
            <w:tcW w:w="283" w:type="pct"/>
            <w:vMerge/>
            <w:vAlign w:val="center"/>
          </w:tcPr>
          <w:p w14:paraId="481CCBDF"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13C5FB50"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Bangladeshi</w:t>
            </w:r>
          </w:p>
        </w:tc>
        <w:tc>
          <w:tcPr>
            <w:tcW w:w="731" w:type="pct"/>
            <w:tcBorders>
              <w:left w:val="single" w:sz="4" w:space="0" w:color="auto"/>
            </w:tcBorders>
          </w:tcPr>
          <w:p w14:paraId="2D46E29D" w14:textId="77777777" w:rsidR="00CC7DAD" w:rsidRDefault="00CC7DAD"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CC7DAD" w:rsidRPr="004E34FD" w14:paraId="664EF6ED" w14:textId="77777777" w:rsidTr="002D5FA9">
        <w:tc>
          <w:tcPr>
            <w:tcW w:w="283" w:type="pct"/>
            <w:vMerge/>
            <w:vAlign w:val="center"/>
          </w:tcPr>
          <w:p w14:paraId="58BFE7BE"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552A419C"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Chinese</w:t>
            </w:r>
          </w:p>
        </w:tc>
        <w:tc>
          <w:tcPr>
            <w:tcW w:w="731" w:type="pct"/>
            <w:tcBorders>
              <w:left w:val="single" w:sz="4" w:space="0" w:color="auto"/>
            </w:tcBorders>
          </w:tcPr>
          <w:p w14:paraId="5123D27D" w14:textId="77777777" w:rsidR="00CC7DAD" w:rsidRDefault="00CC7DAD"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CC7DAD" w:rsidRPr="004E34FD" w14:paraId="19180A6C" w14:textId="77777777" w:rsidTr="002D5FA9">
        <w:tc>
          <w:tcPr>
            <w:tcW w:w="283" w:type="pct"/>
            <w:vMerge/>
            <w:vAlign w:val="center"/>
          </w:tcPr>
          <w:p w14:paraId="7E63C30D"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543ECB93" w14:textId="77777777" w:rsidR="00CC7DAD" w:rsidRPr="001B6155" w:rsidRDefault="00CC7DAD" w:rsidP="002D5FA9">
            <w:pPr>
              <w:spacing w:before="0" w:after="0" w:line="276" w:lineRule="auto"/>
              <w:rPr>
                <w:rFonts w:eastAsia="Times New Roman"/>
                <w:lang w:val="en-GB" w:eastAsia="en-GB"/>
              </w:rPr>
            </w:pPr>
            <w:r w:rsidRPr="001B6155">
              <w:rPr>
                <w:rFonts w:eastAsia="Times New Roman"/>
                <w:lang w:val="en-GB" w:eastAsia="en-GB"/>
              </w:rPr>
              <w:t>Other Asian</w:t>
            </w:r>
          </w:p>
        </w:tc>
        <w:tc>
          <w:tcPr>
            <w:tcW w:w="731" w:type="pct"/>
            <w:tcBorders>
              <w:left w:val="single" w:sz="4" w:space="0" w:color="auto"/>
            </w:tcBorders>
          </w:tcPr>
          <w:p w14:paraId="08149801" w14:textId="77777777" w:rsidR="00CC7DAD" w:rsidRDefault="00CC7DAD" w:rsidP="002D5FA9">
            <w:pPr>
              <w:spacing w:line="276" w:lineRule="auto"/>
              <w:jc w:val="center"/>
            </w:pPr>
            <w:r w:rsidRPr="009F4DC7">
              <w:rPr>
                <w:b/>
                <w:szCs w:val="24"/>
                <w:lang w:val="en-IE"/>
              </w:rPr>
              <w:fldChar w:fldCharType="begin">
                <w:ffData>
                  <w:name w:val="Check1"/>
                  <w:enabled/>
                  <w:calcOnExit w:val="0"/>
                  <w:checkBox>
                    <w:sizeAuto/>
                    <w:default w:val="0"/>
                  </w:checkBox>
                </w:ffData>
              </w:fldChar>
            </w:r>
            <w:r w:rsidRPr="009F4DC7">
              <w:rPr>
                <w:b/>
                <w:szCs w:val="24"/>
                <w:lang w:val="en-IE"/>
              </w:rPr>
              <w:instrText xml:space="preserve"> FORMCHECKBOX </w:instrText>
            </w:r>
            <w:r w:rsidR="00160C04">
              <w:rPr>
                <w:b/>
                <w:szCs w:val="24"/>
                <w:lang w:val="en-IE"/>
              </w:rPr>
            </w:r>
            <w:r w:rsidR="00160C04">
              <w:rPr>
                <w:b/>
                <w:szCs w:val="24"/>
                <w:lang w:val="en-IE"/>
              </w:rPr>
              <w:fldChar w:fldCharType="separate"/>
            </w:r>
            <w:r w:rsidRPr="009F4DC7">
              <w:rPr>
                <w:b/>
                <w:szCs w:val="24"/>
                <w:lang w:val="en-IE"/>
              </w:rPr>
              <w:fldChar w:fldCharType="end"/>
            </w:r>
          </w:p>
        </w:tc>
      </w:tr>
      <w:tr w:rsidR="00CC7DAD" w:rsidRPr="004E34FD" w14:paraId="234788BA" w14:textId="77777777" w:rsidTr="002D5FA9">
        <w:tc>
          <w:tcPr>
            <w:tcW w:w="283" w:type="pct"/>
            <w:vMerge/>
            <w:vAlign w:val="center"/>
          </w:tcPr>
          <w:p w14:paraId="4A54A395" w14:textId="77777777" w:rsidR="00CC7DAD" w:rsidRPr="004E34FD" w:rsidRDefault="00CC7DAD"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2C145682" w14:textId="77777777" w:rsidR="00CC7DAD" w:rsidRPr="004E34FD" w:rsidRDefault="00CC7DAD" w:rsidP="002D5FA9">
            <w:pPr>
              <w:spacing w:before="120" w:after="120" w:line="276" w:lineRule="auto"/>
              <w:rPr>
                <w:b/>
                <w:szCs w:val="24"/>
                <w:lang w:val="en-IE"/>
              </w:rPr>
            </w:pPr>
            <w:r w:rsidRPr="001B6155">
              <w:t>Black/African/Caribbean/Black British:</w:t>
            </w:r>
          </w:p>
        </w:tc>
      </w:tr>
      <w:tr w:rsidR="00CC7DAD" w:rsidRPr="004E34FD" w14:paraId="29DB1DCF" w14:textId="77777777" w:rsidTr="002D5FA9">
        <w:tc>
          <w:tcPr>
            <w:tcW w:w="283" w:type="pct"/>
            <w:vMerge/>
            <w:vAlign w:val="center"/>
          </w:tcPr>
          <w:p w14:paraId="0A5516B3"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7D547D4E" w14:textId="77777777" w:rsidR="00CC7DAD" w:rsidRPr="00BA6782" w:rsidRDefault="00CC7DAD" w:rsidP="002D5FA9">
            <w:pPr>
              <w:spacing w:before="0" w:after="0" w:line="276" w:lineRule="auto"/>
            </w:pPr>
            <w:r w:rsidRPr="00BA6782">
              <w:t>African</w:t>
            </w:r>
          </w:p>
        </w:tc>
        <w:tc>
          <w:tcPr>
            <w:tcW w:w="731" w:type="pct"/>
            <w:tcBorders>
              <w:left w:val="single" w:sz="4" w:space="0" w:color="auto"/>
            </w:tcBorders>
          </w:tcPr>
          <w:p w14:paraId="2D5826F4" w14:textId="77777777" w:rsidR="00CC7DAD" w:rsidRDefault="00CC7DAD"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CC7DAD" w:rsidRPr="004E34FD" w14:paraId="1D3B68C1" w14:textId="77777777" w:rsidTr="002D5FA9">
        <w:tc>
          <w:tcPr>
            <w:tcW w:w="283" w:type="pct"/>
            <w:vMerge/>
            <w:vAlign w:val="center"/>
          </w:tcPr>
          <w:p w14:paraId="56134665"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3C80735F" w14:textId="77777777" w:rsidR="00CC7DAD" w:rsidRPr="00BA6782" w:rsidRDefault="00CC7DAD" w:rsidP="002D5FA9">
            <w:pPr>
              <w:spacing w:before="0" w:after="0" w:line="276" w:lineRule="auto"/>
            </w:pPr>
            <w:r w:rsidRPr="00BA6782">
              <w:t>Caribbean</w:t>
            </w:r>
          </w:p>
        </w:tc>
        <w:tc>
          <w:tcPr>
            <w:tcW w:w="731" w:type="pct"/>
            <w:tcBorders>
              <w:left w:val="single" w:sz="4" w:space="0" w:color="auto"/>
            </w:tcBorders>
          </w:tcPr>
          <w:p w14:paraId="26D6E5D2" w14:textId="77777777" w:rsidR="00CC7DAD" w:rsidRDefault="00CC7DAD"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CC7DAD" w:rsidRPr="004E34FD" w14:paraId="5F2481C0" w14:textId="77777777" w:rsidTr="002D5FA9">
        <w:tc>
          <w:tcPr>
            <w:tcW w:w="283" w:type="pct"/>
            <w:vMerge/>
            <w:vAlign w:val="center"/>
          </w:tcPr>
          <w:p w14:paraId="0B2E8830"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132B4546" w14:textId="77777777" w:rsidR="00CC7DAD" w:rsidRPr="00BA6782" w:rsidRDefault="00CC7DAD" w:rsidP="002D5FA9">
            <w:pPr>
              <w:spacing w:before="0" w:after="0" w:line="276" w:lineRule="auto"/>
              <w:ind w:left="360" w:hanging="360"/>
            </w:pPr>
            <w:r w:rsidRPr="00BA6782">
              <w:t>Other Black</w:t>
            </w:r>
          </w:p>
        </w:tc>
        <w:tc>
          <w:tcPr>
            <w:tcW w:w="731" w:type="pct"/>
            <w:tcBorders>
              <w:left w:val="single" w:sz="4" w:space="0" w:color="auto"/>
            </w:tcBorders>
          </w:tcPr>
          <w:p w14:paraId="7E0D4BDE" w14:textId="77777777" w:rsidR="00CC7DAD" w:rsidRDefault="00CC7DAD" w:rsidP="002D5FA9">
            <w:pPr>
              <w:spacing w:line="276" w:lineRule="auto"/>
              <w:jc w:val="center"/>
            </w:pPr>
            <w:r w:rsidRPr="00554881">
              <w:rPr>
                <w:b/>
                <w:szCs w:val="24"/>
                <w:lang w:val="en-IE"/>
              </w:rPr>
              <w:fldChar w:fldCharType="begin">
                <w:ffData>
                  <w:name w:val="Check1"/>
                  <w:enabled/>
                  <w:calcOnExit w:val="0"/>
                  <w:checkBox>
                    <w:sizeAuto/>
                    <w:default w:val="0"/>
                  </w:checkBox>
                </w:ffData>
              </w:fldChar>
            </w:r>
            <w:r w:rsidRPr="00554881">
              <w:rPr>
                <w:b/>
                <w:szCs w:val="24"/>
                <w:lang w:val="en-IE"/>
              </w:rPr>
              <w:instrText xml:space="preserve"> FORMCHECKBOX </w:instrText>
            </w:r>
            <w:r w:rsidR="00160C04">
              <w:rPr>
                <w:b/>
                <w:szCs w:val="24"/>
                <w:lang w:val="en-IE"/>
              </w:rPr>
            </w:r>
            <w:r w:rsidR="00160C04">
              <w:rPr>
                <w:b/>
                <w:szCs w:val="24"/>
                <w:lang w:val="en-IE"/>
              </w:rPr>
              <w:fldChar w:fldCharType="separate"/>
            </w:r>
            <w:r w:rsidRPr="00554881">
              <w:rPr>
                <w:b/>
                <w:szCs w:val="24"/>
                <w:lang w:val="en-IE"/>
              </w:rPr>
              <w:fldChar w:fldCharType="end"/>
            </w:r>
          </w:p>
        </w:tc>
      </w:tr>
      <w:tr w:rsidR="00CC7DAD" w:rsidRPr="004E34FD" w14:paraId="2F81C313" w14:textId="77777777" w:rsidTr="002D5FA9">
        <w:tc>
          <w:tcPr>
            <w:tcW w:w="283" w:type="pct"/>
            <w:vMerge/>
            <w:vAlign w:val="center"/>
          </w:tcPr>
          <w:p w14:paraId="16929791" w14:textId="77777777" w:rsidR="00CC7DAD" w:rsidRPr="004E34FD" w:rsidRDefault="00CC7DAD" w:rsidP="002D5FA9">
            <w:pPr>
              <w:spacing w:before="40" w:after="40" w:line="276" w:lineRule="auto"/>
              <w:jc w:val="both"/>
              <w:rPr>
                <w:b/>
                <w:bCs/>
                <w:szCs w:val="24"/>
                <w:lang w:val="en-IE"/>
              </w:rPr>
            </w:pPr>
          </w:p>
        </w:tc>
        <w:tc>
          <w:tcPr>
            <w:tcW w:w="4717" w:type="pct"/>
            <w:gridSpan w:val="2"/>
            <w:shd w:val="clear" w:color="auto" w:fill="F2F2F2" w:themeFill="background1" w:themeFillShade="F2"/>
            <w:vAlign w:val="center"/>
          </w:tcPr>
          <w:p w14:paraId="10CD4FF9" w14:textId="77777777" w:rsidR="00CC7DAD" w:rsidRPr="004E34FD" w:rsidRDefault="00CC7DAD" w:rsidP="002D5FA9">
            <w:pPr>
              <w:spacing w:before="120" w:after="120" w:line="276" w:lineRule="auto"/>
              <w:rPr>
                <w:b/>
                <w:szCs w:val="24"/>
                <w:lang w:val="en-IE"/>
              </w:rPr>
            </w:pPr>
            <w:r w:rsidRPr="001B6155">
              <w:t>Other ethnic group:</w:t>
            </w:r>
          </w:p>
        </w:tc>
      </w:tr>
      <w:tr w:rsidR="00CC7DAD" w:rsidRPr="004E34FD" w14:paraId="08FD1A9A" w14:textId="77777777" w:rsidTr="002D5FA9">
        <w:tc>
          <w:tcPr>
            <w:tcW w:w="283" w:type="pct"/>
            <w:vMerge/>
            <w:vAlign w:val="center"/>
          </w:tcPr>
          <w:p w14:paraId="20256B8C"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569BA3D0" w14:textId="77777777" w:rsidR="00CC7DAD" w:rsidRPr="00DC0CDD" w:rsidRDefault="00CC7DAD" w:rsidP="002D5FA9">
            <w:pPr>
              <w:spacing w:before="0" w:after="0" w:line="276" w:lineRule="auto"/>
              <w:ind w:left="360" w:hanging="360"/>
            </w:pPr>
            <w:r w:rsidRPr="00DC0CDD">
              <w:t>Arab</w:t>
            </w:r>
          </w:p>
        </w:tc>
        <w:tc>
          <w:tcPr>
            <w:tcW w:w="731" w:type="pct"/>
            <w:tcBorders>
              <w:left w:val="single" w:sz="4" w:space="0" w:color="auto"/>
            </w:tcBorders>
          </w:tcPr>
          <w:p w14:paraId="2BE8471E" w14:textId="77777777" w:rsidR="00CC7DAD" w:rsidRDefault="00CC7DAD" w:rsidP="002D5FA9">
            <w:pPr>
              <w:spacing w:line="276" w:lineRule="auto"/>
              <w:jc w:val="center"/>
            </w:pPr>
            <w:r w:rsidRPr="003070D1">
              <w:rPr>
                <w:b/>
                <w:szCs w:val="24"/>
                <w:lang w:val="en-IE"/>
              </w:rPr>
              <w:fldChar w:fldCharType="begin">
                <w:ffData>
                  <w:name w:val="Check1"/>
                  <w:enabled/>
                  <w:calcOnExit w:val="0"/>
                  <w:checkBox>
                    <w:sizeAuto/>
                    <w:default w:val="0"/>
                  </w:checkBox>
                </w:ffData>
              </w:fldChar>
            </w:r>
            <w:r w:rsidRPr="003070D1">
              <w:rPr>
                <w:b/>
                <w:szCs w:val="24"/>
                <w:lang w:val="en-IE"/>
              </w:rPr>
              <w:instrText xml:space="preserve"> FORMCHECKBOX </w:instrText>
            </w:r>
            <w:r w:rsidR="00160C04">
              <w:rPr>
                <w:b/>
                <w:szCs w:val="24"/>
                <w:lang w:val="en-IE"/>
              </w:rPr>
            </w:r>
            <w:r w:rsidR="00160C04">
              <w:rPr>
                <w:b/>
                <w:szCs w:val="24"/>
                <w:lang w:val="en-IE"/>
              </w:rPr>
              <w:fldChar w:fldCharType="separate"/>
            </w:r>
            <w:r w:rsidRPr="003070D1">
              <w:rPr>
                <w:b/>
                <w:szCs w:val="24"/>
                <w:lang w:val="en-IE"/>
              </w:rPr>
              <w:fldChar w:fldCharType="end"/>
            </w:r>
          </w:p>
        </w:tc>
      </w:tr>
      <w:tr w:rsidR="00CC7DAD" w:rsidRPr="004E34FD" w14:paraId="35DBC3DA" w14:textId="77777777" w:rsidTr="002D5FA9">
        <w:tc>
          <w:tcPr>
            <w:tcW w:w="283" w:type="pct"/>
            <w:vMerge/>
            <w:vAlign w:val="center"/>
          </w:tcPr>
          <w:p w14:paraId="70F22B1B"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vAlign w:val="center"/>
          </w:tcPr>
          <w:p w14:paraId="156CAE9C" w14:textId="77777777" w:rsidR="00CC7DAD" w:rsidRPr="00DC0CDD" w:rsidRDefault="00CC7DAD" w:rsidP="002D5FA9">
            <w:pPr>
              <w:spacing w:before="0" w:after="0" w:line="276" w:lineRule="auto"/>
              <w:ind w:left="360" w:hanging="360"/>
            </w:pPr>
            <w:r w:rsidRPr="00DC0CDD">
              <w:t>Any other ethnic group</w:t>
            </w:r>
          </w:p>
        </w:tc>
        <w:tc>
          <w:tcPr>
            <w:tcW w:w="731" w:type="pct"/>
            <w:tcBorders>
              <w:left w:val="single" w:sz="4" w:space="0" w:color="auto"/>
            </w:tcBorders>
          </w:tcPr>
          <w:p w14:paraId="05735DA2" w14:textId="77777777" w:rsidR="00CC7DAD" w:rsidRDefault="00CC7DAD" w:rsidP="002D5FA9">
            <w:pPr>
              <w:spacing w:line="276" w:lineRule="auto"/>
              <w:jc w:val="center"/>
            </w:pPr>
            <w:r w:rsidRPr="003070D1">
              <w:rPr>
                <w:b/>
                <w:szCs w:val="24"/>
                <w:lang w:val="en-IE"/>
              </w:rPr>
              <w:fldChar w:fldCharType="begin">
                <w:ffData>
                  <w:name w:val="Check1"/>
                  <w:enabled/>
                  <w:calcOnExit w:val="0"/>
                  <w:checkBox>
                    <w:sizeAuto/>
                    <w:default w:val="0"/>
                  </w:checkBox>
                </w:ffData>
              </w:fldChar>
            </w:r>
            <w:r w:rsidRPr="003070D1">
              <w:rPr>
                <w:b/>
                <w:szCs w:val="24"/>
                <w:lang w:val="en-IE"/>
              </w:rPr>
              <w:instrText xml:space="preserve"> FORMCHECKBOX </w:instrText>
            </w:r>
            <w:r w:rsidR="00160C04">
              <w:rPr>
                <w:b/>
                <w:szCs w:val="24"/>
                <w:lang w:val="en-IE"/>
              </w:rPr>
            </w:r>
            <w:r w:rsidR="00160C04">
              <w:rPr>
                <w:b/>
                <w:szCs w:val="24"/>
                <w:lang w:val="en-IE"/>
              </w:rPr>
              <w:fldChar w:fldCharType="separate"/>
            </w:r>
            <w:r w:rsidRPr="003070D1">
              <w:rPr>
                <w:b/>
                <w:szCs w:val="24"/>
                <w:lang w:val="en-IE"/>
              </w:rPr>
              <w:fldChar w:fldCharType="end"/>
            </w:r>
          </w:p>
        </w:tc>
      </w:tr>
      <w:tr w:rsidR="00CC7DAD" w:rsidRPr="004E34FD" w14:paraId="273B75DC" w14:textId="77777777" w:rsidTr="002D5FA9">
        <w:tc>
          <w:tcPr>
            <w:tcW w:w="283" w:type="pct"/>
            <w:vMerge/>
            <w:vAlign w:val="center"/>
          </w:tcPr>
          <w:p w14:paraId="4AF55E48" w14:textId="77777777" w:rsidR="00CC7DAD" w:rsidRPr="004E34FD" w:rsidRDefault="00CC7DAD" w:rsidP="002D5FA9">
            <w:pPr>
              <w:spacing w:before="40" w:after="40" w:line="276" w:lineRule="auto"/>
              <w:jc w:val="both"/>
              <w:rPr>
                <w:b/>
                <w:bCs/>
                <w:szCs w:val="24"/>
                <w:lang w:val="en-IE"/>
              </w:rPr>
            </w:pPr>
          </w:p>
        </w:tc>
        <w:tc>
          <w:tcPr>
            <w:tcW w:w="3986" w:type="pct"/>
            <w:tcBorders>
              <w:right w:val="single" w:sz="4" w:space="0" w:color="auto"/>
            </w:tcBorders>
            <w:shd w:val="clear" w:color="auto" w:fill="F2F2F2" w:themeFill="background1" w:themeFillShade="F2"/>
            <w:vAlign w:val="center"/>
          </w:tcPr>
          <w:p w14:paraId="422ED310" w14:textId="77777777" w:rsidR="00CC7DAD" w:rsidRPr="00591CC5" w:rsidRDefault="00CC7DAD" w:rsidP="002D5FA9">
            <w:pPr>
              <w:spacing w:before="0" w:after="0" w:line="276" w:lineRule="auto"/>
              <w:ind w:left="360" w:hanging="360"/>
              <w:rPr>
                <w:b/>
              </w:rPr>
            </w:pPr>
            <w:r w:rsidRPr="00591CC5">
              <w:rPr>
                <w:b/>
              </w:rPr>
              <w:t>Do not wish to disclose</w:t>
            </w:r>
          </w:p>
        </w:tc>
        <w:tc>
          <w:tcPr>
            <w:tcW w:w="731" w:type="pct"/>
            <w:tcBorders>
              <w:left w:val="single" w:sz="4" w:space="0" w:color="auto"/>
            </w:tcBorders>
            <w:shd w:val="clear" w:color="auto" w:fill="F2F2F2" w:themeFill="background1" w:themeFillShade="F2"/>
          </w:tcPr>
          <w:p w14:paraId="1963DDAA" w14:textId="77777777" w:rsidR="00CC7DAD" w:rsidRPr="00591CC5" w:rsidRDefault="00CC7DAD" w:rsidP="002D5FA9">
            <w:pPr>
              <w:spacing w:line="276" w:lineRule="auto"/>
              <w:jc w:val="center"/>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p>
        </w:tc>
      </w:tr>
    </w:tbl>
    <w:p w14:paraId="2F254E1E" w14:textId="77777777" w:rsidR="00CC7DAD"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295"/>
        <w:gridCol w:w="2665"/>
      </w:tblGrid>
      <w:tr w:rsidR="00CC7DAD" w:rsidRPr="004E34FD" w14:paraId="78CDC4D6" w14:textId="77777777" w:rsidTr="002D5FA9">
        <w:trPr>
          <w:trHeight w:val="296"/>
        </w:trPr>
        <w:tc>
          <w:tcPr>
            <w:tcW w:w="283" w:type="pct"/>
            <w:shd w:val="clear" w:color="auto" w:fill="E0E0E0"/>
            <w:vAlign w:val="center"/>
          </w:tcPr>
          <w:p w14:paraId="45329C88" w14:textId="77777777" w:rsidR="00CC7DAD" w:rsidRPr="004E34FD" w:rsidRDefault="00CC7DAD" w:rsidP="00C1010B">
            <w:pPr>
              <w:widowControl/>
              <w:numPr>
                <w:ilvl w:val="0"/>
                <w:numId w:val="48"/>
              </w:numPr>
              <w:tabs>
                <w:tab w:val="num" w:pos="682"/>
              </w:tabs>
              <w:spacing w:before="40" w:after="40" w:line="480" w:lineRule="auto"/>
              <w:jc w:val="both"/>
              <w:rPr>
                <w:b/>
              </w:rPr>
            </w:pPr>
          </w:p>
        </w:tc>
        <w:tc>
          <w:tcPr>
            <w:tcW w:w="4717" w:type="pct"/>
            <w:gridSpan w:val="2"/>
            <w:tcBorders>
              <w:bottom w:val="single" w:sz="4" w:space="0" w:color="auto"/>
            </w:tcBorders>
            <w:shd w:val="clear" w:color="auto" w:fill="E0E0E0"/>
            <w:vAlign w:val="center"/>
          </w:tcPr>
          <w:p w14:paraId="41ABD9C2" w14:textId="77777777" w:rsidR="00CC7DAD" w:rsidRPr="004E34FD" w:rsidRDefault="00CC7DAD" w:rsidP="002D5FA9">
            <w:pPr>
              <w:spacing w:before="40" w:after="40" w:line="480" w:lineRule="auto"/>
              <w:jc w:val="both"/>
              <w:rPr>
                <w:b/>
                <w:szCs w:val="24"/>
                <w:lang w:val="en-IE"/>
              </w:rPr>
            </w:pPr>
            <w:r>
              <w:rPr>
                <w:b/>
                <w:szCs w:val="24"/>
                <w:lang w:val="en-IE"/>
              </w:rPr>
              <w:t>Are you a Carer</w:t>
            </w:r>
            <w:r w:rsidRPr="000052CF">
              <w:rPr>
                <w:b/>
                <w:szCs w:val="24"/>
                <w:lang w:val="en-IE"/>
              </w:rPr>
              <w:t xml:space="preserve">? </w:t>
            </w:r>
            <w:r w:rsidRPr="004E34FD">
              <w:rPr>
                <w:b/>
                <w:szCs w:val="24"/>
                <w:lang w:val="en-IE"/>
              </w:rPr>
              <w:t xml:space="preserve"> </w:t>
            </w:r>
            <w:r w:rsidRPr="004E34FD">
              <w:rPr>
                <w:i/>
                <w:szCs w:val="24"/>
                <w:lang w:val="en-IE"/>
              </w:rPr>
              <w:t>Tick one</w:t>
            </w:r>
          </w:p>
        </w:tc>
      </w:tr>
      <w:tr w:rsidR="00CC7DAD" w:rsidRPr="004E34FD" w:rsidDel="00DC6327" w14:paraId="1984AD10" w14:textId="77777777" w:rsidTr="002D5FA9">
        <w:tc>
          <w:tcPr>
            <w:tcW w:w="283" w:type="pct"/>
            <w:vMerge w:val="restart"/>
            <w:vAlign w:val="center"/>
          </w:tcPr>
          <w:p w14:paraId="09052C06"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vAlign w:val="center"/>
          </w:tcPr>
          <w:p w14:paraId="26769369" w14:textId="77777777" w:rsidR="00CC7DAD" w:rsidRPr="00097707" w:rsidRDefault="00CC7DAD" w:rsidP="002D5FA9">
            <w:pPr>
              <w:spacing w:before="0" w:after="0" w:line="480" w:lineRule="auto"/>
              <w:rPr>
                <w:rFonts w:eastAsia="Times New Roman"/>
                <w:lang w:val="en-GB" w:eastAsia="en-GB"/>
              </w:rPr>
            </w:pPr>
            <w:r>
              <w:rPr>
                <w:rFonts w:eastAsia="Times New Roman"/>
                <w:lang w:val="en-GB" w:eastAsia="en-GB"/>
              </w:rPr>
              <w:t>Yes</w:t>
            </w:r>
          </w:p>
        </w:tc>
        <w:tc>
          <w:tcPr>
            <w:tcW w:w="1403" w:type="pct"/>
            <w:tcBorders>
              <w:left w:val="single" w:sz="4" w:space="0" w:color="auto"/>
            </w:tcBorders>
            <w:vAlign w:val="center"/>
          </w:tcPr>
          <w:p w14:paraId="2E01E396" w14:textId="77777777" w:rsidR="00CC7DAD" w:rsidRPr="004E34FD" w:rsidDel="00DC6327" w:rsidRDefault="00CC7DAD" w:rsidP="002D5FA9">
            <w:pPr>
              <w:spacing w:before="120" w:after="12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rsidDel="00DC6327" w14:paraId="7AD9A104" w14:textId="77777777" w:rsidTr="002D5FA9">
        <w:tc>
          <w:tcPr>
            <w:tcW w:w="283" w:type="pct"/>
            <w:vMerge/>
            <w:vAlign w:val="center"/>
          </w:tcPr>
          <w:p w14:paraId="11F001CD"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vAlign w:val="center"/>
          </w:tcPr>
          <w:p w14:paraId="3F81D7C9" w14:textId="77777777" w:rsidR="00CC7DAD" w:rsidRPr="00097707" w:rsidRDefault="00CC7DAD" w:rsidP="002D5FA9">
            <w:pPr>
              <w:spacing w:before="0" w:after="0" w:line="480" w:lineRule="auto"/>
              <w:rPr>
                <w:rFonts w:eastAsia="Times New Roman"/>
                <w:lang w:val="en-GB" w:eastAsia="en-GB"/>
              </w:rPr>
            </w:pPr>
            <w:r>
              <w:rPr>
                <w:rFonts w:eastAsia="Times New Roman"/>
                <w:lang w:val="en-GB" w:eastAsia="en-GB"/>
              </w:rPr>
              <w:t>No</w:t>
            </w:r>
          </w:p>
        </w:tc>
        <w:tc>
          <w:tcPr>
            <w:tcW w:w="1403" w:type="pct"/>
            <w:tcBorders>
              <w:left w:val="single" w:sz="4" w:space="0" w:color="auto"/>
            </w:tcBorders>
            <w:vAlign w:val="center"/>
          </w:tcPr>
          <w:p w14:paraId="73400A57" w14:textId="77777777" w:rsidR="00CC7DAD" w:rsidRPr="004E34FD" w:rsidRDefault="00CC7DAD" w:rsidP="002D5FA9">
            <w:pPr>
              <w:spacing w:before="120" w:after="120" w:line="48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rsidDel="00DC6327" w14:paraId="00A370A8" w14:textId="77777777" w:rsidTr="002D5FA9">
        <w:tc>
          <w:tcPr>
            <w:tcW w:w="283" w:type="pct"/>
            <w:vMerge/>
            <w:vAlign w:val="center"/>
          </w:tcPr>
          <w:p w14:paraId="0A030893"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shd w:val="clear" w:color="auto" w:fill="F2F2F2" w:themeFill="background1" w:themeFillShade="F2"/>
            <w:vAlign w:val="center"/>
          </w:tcPr>
          <w:p w14:paraId="316C9518" w14:textId="77777777" w:rsidR="00CC7DAD" w:rsidRPr="00591CC5" w:rsidRDefault="00CC7DAD" w:rsidP="002D5FA9">
            <w:pPr>
              <w:spacing w:before="0" w:after="0" w:line="480" w:lineRule="auto"/>
              <w:rPr>
                <w:rFonts w:eastAsia="Times New Roman"/>
                <w:b/>
                <w:lang w:val="en-GB" w:eastAsia="en-GB"/>
              </w:rPr>
            </w:pPr>
            <w:r w:rsidRPr="00591CC5">
              <w:rPr>
                <w:b/>
              </w:rPr>
              <w:t>Do not wish to disclose</w:t>
            </w:r>
          </w:p>
        </w:tc>
        <w:tc>
          <w:tcPr>
            <w:tcW w:w="1403" w:type="pct"/>
            <w:tcBorders>
              <w:left w:val="single" w:sz="4" w:space="0" w:color="auto"/>
            </w:tcBorders>
            <w:shd w:val="clear" w:color="auto" w:fill="F2F2F2" w:themeFill="background1" w:themeFillShade="F2"/>
            <w:vAlign w:val="center"/>
          </w:tcPr>
          <w:p w14:paraId="2DA07B35" w14:textId="77777777" w:rsidR="00CC7DAD" w:rsidRPr="00591CC5" w:rsidRDefault="00CC7DAD" w:rsidP="002D5FA9">
            <w:pPr>
              <w:spacing w:before="120" w:after="120" w:line="480" w:lineRule="auto"/>
              <w:jc w:val="center"/>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p>
        </w:tc>
      </w:tr>
    </w:tbl>
    <w:p w14:paraId="19258CB0" w14:textId="77777777" w:rsidR="00CC7DAD"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295"/>
        <w:gridCol w:w="2665"/>
      </w:tblGrid>
      <w:tr w:rsidR="00CC7DAD" w:rsidRPr="004E34FD" w14:paraId="3979DFE9" w14:textId="77777777" w:rsidTr="002D5FA9">
        <w:trPr>
          <w:trHeight w:val="296"/>
        </w:trPr>
        <w:tc>
          <w:tcPr>
            <w:tcW w:w="283" w:type="pct"/>
            <w:shd w:val="clear" w:color="auto" w:fill="E0E0E0"/>
            <w:vAlign w:val="center"/>
          </w:tcPr>
          <w:p w14:paraId="5093037F" w14:textId="77777777" w:rsidR="00CC7DAD" w:rsidRPr="004E34FD" w:rsidRDefault="00CC7DAD" w:rsidP="00C1010B">
            <w:pPr>
              <w:widowControl/>
              <w:numPr>
                <w:ilvl w:val="0"/>
                <w:numId w:val="48"/>
              </w:numPr>
              <w:tabs>
                <w:tab w:val="num" w:pos="682"/>
              </w:tabs>
              <w:spacing w:before="40" w:after="40" w:line="480" w:lineRule="auto"/>
              <w:jc w:val="both"/>
              <w:rPr>
                <w:b/>
              </w:rPr>
            </w:pPr>
          </w:p>
        </w:tc>
        <w:tc>
          <w:tcPr>
            <w:tcW w:w="4717" w:type="pct"/>
            <w:gridSpan w:val="2"/>
            <w:tcBorders>
              <w:bottom w:val="single" w:sz="4" w:space="0" w:color="auto"/>
            </w:tcBorders>
            <w:shd w:val="clear" w:color="auto" w:fill="E0E0E0"/>
            <w:vAlign w:val="center"/>
          </w:tcPr>
          <w:p w14:paraId="32F9F006" w14:textId="77777777" w:rsidR="00CC7DAD" w:rsidRPr="004E34FD" w:rsidRDefault="00CC7DAD" w:rsidP="002D5FA9">
            <w:pPr>
              <w:spacing w:before="40" w:after="40" w:line="480" w:lineRule="auto"/>
              <w:jc w:val="both"/>
              <w:rPr>
                <w:b/>
                <w:szCs w:val="24"/>
                <w:lang w:val="en-IE"/>
              </w:rPr>
            </w:pPr>
            <w:r w:rsidRPr="000052CF">
              <w:rPr>
                <w:b/>
                <w:szCs w:val="24"/>
                <w:lang w:val="en-IE"/>
              </w:rPr>
              <w:t xml:space="preserve">Do you have any long-standing illness, health problem, condition or disability? </w:t>
            </w:r>
            <w:r w:rsidRPr="004E34FD">
              <w:rPr>
                <w:b/>
                <w:szCs w:val="24"/>
                <w:lang w:val="en-IE"/>
              </w:rPr>
              <w:t xml:space="preserve"> </w:t>
            </w:r>
            <w:r w:rsidRPr="004E34FD">
              <w:rPr>
                <w:i/>
                <w:szCs w:val="24"/>
                <w:lang w:val="en-IE"/>
              </w:rPr>
              <w:t>Tick one</w:t>
            </w:r>
          </w:p>
        </w:tc>
      </w:tr>
      <w:tr w:rsidR="00CC7DAD" w:rsidRPr="004E34FD" w:rsidDel="00DC6327" w14:paraId="067E6573" w14:textId="77777777" w:rsidTr="002D5FA9">
        <w:tc>
          <w:tcPr>
            <w:tcW w:w="283" w:type="pct"/>
            <w:vMerge w:val="restart"/>
            <w:vAlign w:val="center"/>
          </w:tcPr>
          <w:p w14:paraId="138FBD4C"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vAlign w:val="center"/>
          </w:tcPr>
          <w:p w14:paraId="0C5DC34F" w14:textId="77777777" w:rsidR="00CC7DAD" w:rsidRPr="00097707" w:rsidRDefault="00CC7DAD" w:rsidP="002D5FA9">
            <w:pPr>
              <w:spacing w:before="0" w:after="0" w:line="480" w:lineRule="auto"/>
              <w:rPr>
                <w:rFonts w:eastAsia="Times New Roman"/>
                <w:lang w:val="en-GB" w:eastAsia="en-GB"/>
              </w:rPr>
            </w:pPr>
            <w:r>
              <w:rPr>
                <w:rFonts w:eastAsia="Times New Roman"/>
                <w:lang w:val="en-GB" w:eastAsia="en-GB"/>
              </w:rPr>
              <w:t>Yes</w:t>
            </w:r>
          </w:p>
        </w:tc>
        <w:tc>
          <w:tcPr>
            <w:tcW w:w="1403" w:type="pct"/>
            <w:tcBorders>
              <w:left w:val="single" w:sz="4" w:space="0" w:color="auto"/>
            </w:tcBorders>
            <w:vAlign w:val="center"/>
          </w:tcPr>
          <w:p w14:paraId="041A781B" w14:textId="77777777" w:rsidR="00CC7DAD" w:rsidRPr="004E34FD" w:rsidDel="00DC6327" w:rsidRDefault="00CC7DAD" w:rsidP="002D5FA9">
            <w:pPr>
              <w:spacing w:before="120" w:after="120" w:line="480" w:lineRule="auto"/>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r>
              <w:rPr>
                <w:b/>
                <w:szCs w:val="24"/>
                <w:lang w:val="en-IE"/>
              </w:rPr>
              <w:t xml:space="preserve"> (go to Q6)</w:t>
            </w:r>
          </w:p>
        </w:tc>
      </w:tr>
      <w:tr w:rsidR="00CC7DAD" w:rsidRPr="004E34FD" w:rsidDel="00DC6327" w14:paraId="0CF6F10A" w14:textId="77777777" w:rsidTr="002D5FA9">
        <w:tc>
          <w:tcPr>
            <w:tcW w:w="283" w:type="pct"/>
            <w:vMerge/>
            <w:vAlign w:val="center"/>
          </w:tcPr>
          <w:p w14:paraId="3A06A4C0"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vAlign w:val="center"/>
          </w:tcPr>
          <w:p w14:paraId="2BEB2787" w14:textId="77777777" w:rsidR="00CC7DAD" w:rsidRPr="00097707" w:rsidRDefault="00CC7DAD" w:rsidP="002D5FA9">
            <w:pPr>
              <w:spacing w:before="0" w:after="0" w:line="480" w:lineRule="auto"/>
              <w:rPr>
                <w:rFonts w:eastAsia="Times New Roman"/>
                <w:lang w:val="en-GB" w:eastAsia="en-GB"/>
              </w:rPr>
            </w:pPr>
            <w:r>
              <w:rPr>
                <w:rFonts w:eastAsia="Times New Roman"/>
                <w:lang w:val="en-GB" w:eastAsia="en-GB"/>
              </w:rPr>
              <w:t>No</w:t>
            </w:r>
          </w:p>
        </w:tc>
        <w:tc>
          <w:tcPr>
            <w:tcW w:w="1403" w:type="pct"/>
            <w:tcBorders>
              <w:left w:val="single" w:sz="4" w:space="0" w:color="auto"/>
            </w:tcBorders>
            <w:vAlign w:val="center"/>
          </w:tcPr>
          <w:p w14:paraId="77582E59" w14:textId="77777777" w:rsidR="00CC7DAD" w:rsidRPr="004E34FD" w:rsidRDefault="00CC7DAD" w:rsidP="002D5FA9">
            <w:pPr>
              <w:spacing w:before="120" w:after="120" w:line="480" w:lineRule="auto"/>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r>
              <w:rPr>
                <w:b/>
                <w:szCs w:val="24"/>
                <w:lang w:val="en-IE"/>
              </w:rPr>
              <w:t xml:space="preserve"> (go to Q7)</w:t>
            </w:r>
          </w:p>
        </w:tc>
      </w:tr>
      <w:tr w:rsidR="00CC7DAD" w:rsidRPr="004E34FD" w:rsidDel="00DC6327" w14:paraId="4921A8DD" w14:textId="77777777" w:rsidTr="002D5FA9">
        <w:tc>
          <w:tcPr>
            <w:tcW w:w="283" w:type="pct"/>
            <w:vMerge/>
            <w:vAlign w:val="center"/>
          </w:tcPr>
          <w:p w14:paraId="7889C4E7" w14:textId="77777777" w:rsidR="00CC7DAD" w:rsidRPr="004E34FD" w:rsidRDefault="00CC7DAD" w:rsidP="002D5FA9">
            <w:pPr>
              <w:spacing w:before="40" w:after="40" w:line="480" w:lineRule="auto"/>
              <w:jc w:val="both"/>
              <w:rPr>
                <w:b/>
                <w:bCs/>
                <w:szCs w:val="24"/>
                <w:lang w:val="en-IE"/>
              </w:rPr>
            </w:pPr>
          </w:p>
        </w:tc>
        <w:tc>
          <w:tcPr>
            <w:tcW w:w="3314" w:type="pct"/>
            <w:tcBorders>
              <w:right w:val="single" w:sz="4" w:space="0" w:color="auto"/>
            </w:tcBorders>
            <w:shd w:val="clear" w:color="auto" w:fill="F2F2F2" w:themeFill="background1" w:themeFillShade="F2"/>
            <w:vAlign w:val="center"/>
          </w:tcPr>
          <w:p w14:paraId="5853BB91" w14:textId="77777777" w:rsidR="00CC7DAD" w:rsidRPr="00591CC5" w:rsidRDefault="00CC7DAD" w:rsidP="002D5FA9">
            <w:pPr>
              <w:spacing w:before="0" w:after="0" w:line="480" w:lineRule="auto"/>
              <w:rPr>
                <w:rFonts w:eastAsia="Times New Roman"/>
                <w:b/>
                <w:lang w:val="en-GB" w:eastAsia="en-GB"/>
              </w:rPr>
            </w:pPr>
            <w:r w:rsidRPr="00591CC5">
              <w:rPr>
                <w:b/>
              </w:rPr>
              <w:t>Do not wish to disclose</w:t>
            </w:r>
          </w:p>
        </w:tc>
        <w:tc>
          <w:tcPr>
            <w:tcW w:w="1403" w:type="pct"/>
            <w:tcBorders>
              <w:left w:val="single" w:sz="4" w:space="0" w:color="auto"/>
            </w:tcBorders>
            <w:shd w:val="clear" w:color="auto" w:fill="F2F2F2" w:themeFill="background1" w:themeFillShade="F2"/>
            <w:vAlign w:val="center"/>
          </w:tcPr>
          <w:p w14:paraId="1F4F8803" w14:textId="77777777" w:rsidR="00CC7DAD" w:rsidRPr="00591CC5" w:rsidRDefault="00CC7DAD" w:rsidP="002D5FA9">
            <w:pPr>
              <w:spacing w:before="120" w:after="120" w:line="480" w:lineRule="auto"/>
              <w:rPr>
                <w:b/>
                <w:szCs w:val="24"/>
                <w:lang w:val="en-IE"/>
              </w:rPr>
            </w:pPr>
            <w:r w:rsidRPr="00591CC5">
              <w:rPr>
                <w:b/>
                <w:szCs w:val="24"/>
                <w:lang w:val="en-IE"/>
              </w:rPr>
              <w:fldChar w:fldCharType="begin">
                <w:ffData>
                  <w:name w:val="Check1"/>
                  <w:enabled/>
                  <w:calcOnExit w:val="0"/>
                  <w:checkBox>
                    <w:sizeAuto/>
                    <w:default w:val="0"/>
                  </w:checkBox>
                </w:ffData>
              </w:fldChar>
            </w:r>
            <w:r w:rsidRPr="00591CC5">
              <w:rPr>
                <w:b/>
                <w:szCs w:val="24"/>
                <w:lang w:val="en-IE"/>
              </w:rPr>
              <w:instrText xml:space="preserve"> FORMCHECKBOX </w:instrText>
            </w:r>
            <w:r w:rsidR="00160C04">
              <w:rPr>
                <w:b/>
                <w:szCs w:val="24"/>
                <w:lang w:val="en-IE"/>
              </w:rPr>
            </w:r>
            <w:r w:rsidR="00160C04">
              <w:rPr>
                <w:b/>
                <w:szCs w:val="24"/>
                <w:lang w:val="en-IE"/>
              </w:rPr>
              <w:fldChar w:fldCharType="separate"/>
            </w:r>
            <w:r w:rsidRPr="00591CC5">
              <w:rPr>
                <w:b/>
                <w:szCs w:val="24"/>
                <w:lang w:val="en-IE"/>
              </w:rPr>
              <w:fldChar w:fldCharType="end"/>
            </w:r>
            <w:r>
              <w:rPr>
                <w:b/>
                <w:szCs w:val="24"/>
                <w:lang w:val="en-IE"/>
              </w:rPr>
              <w:t xml:space="preserve"> (go to Q7)</w:t>
            </w:r>
          </w:p>
        </w:tc>
      </w:tr>
    </w:tbl>
    <w:p w14:paraId="2B5814F5" w14:textId="77777777" w:rsidR="00CC7DAD" w:rsidRDefault="00CC7DAD" w:rsidP="00AE785D">
      <w:pPr>
        <w:pStyle w:val="BodyText-parastyle"/>
      </w:pPr>
    </w:p>
    <w:p w14:paraId="6D28B958" w14:textId="77777777" w:rsidR="00CC7DAD" w:rsidRDefault="00CC7DAD" w:rsidP="00AE785D">
      <w:pPr>
        <w:pStyle w:val="BodyText-parastyle"/>
      </w:pPr>
    </w:p>
    <w:p w14:paraId="4E5B439A" w14:textId="77777777" w:rsidR="00CC7DAD" w:rsidRDefault="00CC7DAD" w:rsidP="00AE785D">
      <w:pPr>
        <w:pStyle w:val="BodyText-parastyle"/>
      </w:pPr>
    </w:p>
    <w:p w14:paraId="1E3D54AC" w14:textId="77777777" w:rsidR="00CC7DAD"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CC7DAD" w:rsidRPr="004E34FD" w14:paraId="23FA0684" w14:textId="77777777" w:rsidTr="002D5FA9">
        <w:trPr>
          <w:trHeight w:val="296"/>
        </w:trPr>
        <w:tc>
          <w:tcPr>
            <w:tcW w:w="283" w:type="pct"/>
            <w:shd w:val="clear" w:color="auto" w:fill="E0E0E0"/>
            <w:vAlign w:val="center"/>
          </w:tcPr>
          <w:p w14:paraId="31E60947" w14:textId="77777777" w:rsidR="00CC7DAD" w:rsidRPr="004E34FD" w:rsidRDefault="00CC7DAD" w:rsidP="00C1010B">
            <w:pPr>
              <w:widowControl/>
              <w:numPr>
                <w:ilvl w:val="0"/>
                <w:numId w:val="48"/>
              </w:numPr>
              <w:tabs>
                <w:tab w:val="num" w:pos="682"/>
              </w:tabs>
              <w:spacing w:before="40" w:after="40" w:line="360" w:lineRule="auto"/>
              <w:jc w:val="both"/>
              <w:rPr>
                <w:b/>
              </w:rPr>
            </w:pPr>
          </w:p>
        </w:tc>
        <w:tc>
          <w:tcPr>
            <w:tcW w:w="4717" w:type="pct"/>
            <w:gridSpan w:val="2"/>
            <w:tcBorders>
              <w:bottom w:val="single" w:sz="4" w:space="0" w:color="auto"/>
            </w:tcBorders>
            <w:shd w:val="clear" w:color="auto" w:fill="E0E0E0"/>
            <w:vAlign w:val="center"/>
          </w:tcPr>
          <w:p w14:paraId="60FEA482" w14:textId="77777777" w:rsidR="00CC7DAD" w:rsidRPr="004E34FD" w:rsidRDefault="00CC7DAD" w:rsidP="002D5FA9">
            <w:pPr>
              <w:spacing w:before="40" w:after="40" w:line="360" w:lineRule="auto"/>
              <w:jc w:val="both"/>
              <w:rPr>
                <w:b/>
                <w:szCs w:val="24"/>
                <w:lang w:val="en-IE"/>
              </w:rPr>
            </w:pPr>
            <w:r>
              <w:rPr>
                <w:b/>
                <w:szCs w:val="24"/>
                <w:lang w:val="en-IE"/>
              </w:rPr>
              <w:t>If yes, tick all that apply</w:t>
            </w:r>
            <w:r w:rsidRPr="004E34FD">
              <w:rPr>
                <w:b/>
                <w:szCs w:val="24"/>
                <w:lang w:val="en-IE"/>
              </w:rPr>
              <w:t xml:space="preserve"> </w:t>
            </w:r>
          </w:p>
        </w:tc>
      </w:tr>
      <w:tr w:rsidR="00CC7DAD" w:rsidRPr="004E34FD" w:rsidDel="00DC6327" w14:paraId="7BAC0C97" w14:textId="77777777" w:rsidTr="002D5FA9">
        <w:tc>
          <w:tcPr>
            <w:tcW w:w="283" w:type="pct"/>
            <w:vMerge w:val="restart"/>
            <w:vAlign w:val="center"/>
          </w:tcPr>
          <w:p w14:paraId="49D8B006"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18E5A741"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Tiredness / Fatigue </w:t>
            </w:r>
          </w:p>
        </w:tc>
        <w:tc>
          <w:tcPr>
            <w:tcW w:w="731" w:type="pct"/>
            <w:tcBorders>
              <w:left w:val="single" w:sz="4" w:space="0" w:color="auto"/>
            </w:tcBorders>
            <w:vAlign w:val="center"/>
          </w:tcPr>
          <w:p w14:paraId="3D4E309F" w14:textId="77777777" w:rsidR="00CC7DAD" w:rsidRPr="004E34FD" w:rsidDel="00DC6327"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rsidDel="00DC6327" w14:paraId="55A8E08D" w14:textId="77777777" w:rsidTr="002D5FA9">
        <w:tc>
          <w:tcPr>
            <w:tcW w:w="283" w:type="pct"/>
            <w:vMerge/>
            <w:vAlign w:val="center"/>
          </w:tcPr>
          <w:p w14:paraId="126BEBFA"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514897AE"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Pain </w:t>
            </w:r>
          </w:p>
        </w:tc>
        <w:tc>
          <w:tcPr>
            <w:tcW w:w="731" w:type="pct"/>
            <w:tcBorders>
              <w:left w:val="single" w:sz="4" w:space="0" w:color="auto"/>
            </w:tcBorders>
          </w:tcPr>
          <w:p w14:paraId="68EFE173"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3F824E53" w14:textId="77777777" w:rsidTr="002D5FA9">
        <w:tc>
          <w:tcPr>
            <w:tcW w:w="283" w:type="pct"/>
            <w:vMerge/>
            <w:vAlign w:val="center"/>
          </w:tcPr>
          <w:p w14:paraId="4ABB7104"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13EB8098"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Insomnia </w:t>
            </w:r>
          </w:p>
        </w:tc>
        <w:tc>
          <w:tcPr>
            <w:tcW w:w="731" w:type="pct"/>
            <w:tcBorders>
              <w:left w:val="single" w:sz="4" w:space="0" w:color="auto"/>
            </w:tcBorders>
          </w:tcPr>
          <w:p w14:paraId="4CB10E66"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4D598056" w14:textId="77777777" w:rsidTr="002D5FA9">
        <w:tc>
          <w:tcPr>
            <w:tcW w:w="283" w:type="pct"/>
            <w:vMerge/>
            <w:vAlign w:val="center"/>
          </w:tcPr>
          <w:p w14:paraId="050395E1"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75999667"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Anxiety / Nerves </w:t>
            </w:r>
          </w:p>
        </w:tc>
        <w:tc>
          <w:tcPr>
            <w:tcW w:w="731" w:type="pct"/>
            <w:tcBorders>
              <w:left w:val="single" w:sz="4" w:space="0" w:color="auto"/>
            </w:tcBorders>
            <w:vAlign w:val="center"/>
          </w:tcPr>
          <w:p w14:paraId="202BDA11" w14:textId="77777777" w:rsidR="00CC7DAD" w:rsidRPr="004E34FD" w:rsidDel="00DC6327"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069C0D3C" w14:textId="77777777" w:rsidTr="002D5FA9">
        <w:tc>
          <w:tcPr>
            <w:tcW w:w="283" w:type="pct"/>
            <w:vMerge/>
            <w:vAlign w:val="center"/>
          </w:tcPr>
          <w:p w14:paraId="7D9D4BFD"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16792691"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Depression </w:t>
            </w:r>
          </w:p>
        </w:tc>
        <w:tc>
          <w:tcPr>
            <w:tcW w:w="731" w:type="pct"/>
            <w:tcBorders>
              <w:left w:val="single" w:sz="4" w:space="0" w:color="auto"/>
            </w:tcBorders>
          </w:tcPr>
          <w:p w14:paraId="40C953AE"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36C559BC" w14:textId="77777777" w:rsidTr="002D5FA9">
        <w:tc>
          <w:tcPr>
            <w:tcW w:w="283" w:type="pct"/>
            <w:vMerge/>
            <w:vAlign w:val="center"/>
          </w:tcPr>
          <w:p w14:paraId="2BB4742A"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44D94008"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Diabetes </w:t>
            </w:r>
          </w:p>
        </w:tc>
        <w:tc>
          <w:tcPr>
            <w:tcW w:w="731" w:type="pct"/>
            <w:tcBorders>
              <w:left w:val="single" w:sz="4" w:space="0" w:color="auto"/>
            </w:tcBorders>
          </w:tcPr>
          <w:p w14:paraId="5D7A4567"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299DA900" w14:textId="77777777" w:rsidTr="002D5FA9">
        <w:tc>
          <w:tcPr>
            <w:tcW w:w="283" w:type="pct"/>
            <w:vMerge/>
            <w:vAlign w:val="center"/>
          </w:tcPr>
          <w:p w14:paraId="4C10488E"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27BC3F76"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Breathing problems (e.g. chronic bronchitis, asthma or emphysema) </w:t>
            </w:r>
          </w:p>
        </w:tc>
        <w:tc>
          <w:tcPr>
            <w:tcW w:w="731" w:type="pct"/>
            <w:tcBorders>
              <w:left w:val="single" w:sz="4" w:space="0" w:color="auto"/>
            </w:tcBorders>
          </w:tcPr>
          <w:p w14:paraId="7BDB5D77"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18B7EF6D" w14:textId="77777777" w:rsidTr="002D5FA9">
        <w:tc>
          <w:tcPr>
            <w:tcW w:w="283" w:type="pct"/>
            <w:vMerge/>
            <w:vAlign w:val="center"/>
          </w:tcPr>
          <w:p w14:paraId="206927C3"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7D27379B"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High blood pressure </w:t>
            </w:r>
          </w:p>
        </w:tc>
        <w:tc>
          <w:tcPr>
            <w:tcW w:w="731" w:type="pct"/>
            <w:tcBorders>
              <w:left w:val="single" w:sz="4" w:space="0" w:color="auto"/>
            </w:tcBorders>
          </w:tcPr>
          <w:p w14:paraId="648D385B"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0F3B7919" w14:textId="77777777" w:rsidTr="002D5FA9">
        <w:tc>
          <w:tcPr>
            <w:tcW w:w="283" w:type="pct"/>
            <w:vMerge/>
            <w:vAlign w:val="center"/>
          </w:tcPr>
          <w:p w14:paraId="6368DF71"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4950F0C1"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Heart disease </w:t>
            </w:r>
          </w:p>
        </w:tc>
        <w:tc>
          <w:tcPr>
            <w:tcW w:w="731" w:type="pct"/>
            <w:tcBorders>
              <w:left w:val="single" w:sz="4" w:space="0" w:color="auto"/>
            </w:tcBorders>
          </w:tcPr>
          <w:p w14:paraId="4130FBDF"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23B85D60" w14:textId="77777777" w:rsidTr="002D5FA9">
        <w:tc>
          <w:tcPr>
            <w:tcW w:w="283" w:type="pct"/>
            <w:vMerge/>
            <w:vAlign w:val="center"/>
          </w:tcPr>
          <w:p w14:paraId="77A17AD0"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08F16963"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Osteoarthritis  </w:t>
            </w:r>
          </w:p>
        </w:tc>
        <w:tc>
          <w:tcPr>
            <w:tcW w:w="731" w:type="pct"/>
            <w:tcBorders>
              <w:left w:val="single" w:sz="4" w:space="0" w:color="auto"/>
            </w:tcBorders>
          </w:tcPr>
          <w:p w14:paraId="3064BD21"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4AC5A948" w14:textId="77777777" w:rsidTr="002D5FA9">
        <w:tc>
          <w:tcPr>
            <w:tcW w:w="283" w:type="pct"/>
            <w:vMerge/>
            <w:vAlign w:val="center"/>
          </w:tcPr>
          <w:p w14:paraId="72E3032A"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09FD538E"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Stroke </w:t>
            </w:r>
          </w:p>
        </w:tc>
        <w:tc>
          <w:tcPr>
            <w:tcW w:w="731" w:type="pct"/>
            <w:tcBorders>
              <w:left w:val="single" w:sz="4" w:space="0" w:color="auto"/>
            </w:tcBorders>
          </w:tcPr>
          <w:p w14:paraId="567B1446"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07BE2709" w14:textId="77777777" w:rsidTr="002D5FA9">
        <w:tc>
          <w:tcPr>
            <w:tcW w:w="283" w:type="pct"/>
            <w:vMerge/>
            <w:vAlign w:val="center"/>
          </w:tcPr>
          <w:p w14:paraId="1BFBFF8F"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2D87C09B" w14:textId="77777777" w:rsidR="00CC7DAD" w:rsidRPr="00097707" w:rsidRDefault="00CC7DAD" w:rsidP="002D5FA9">
            <w:pPr>
              <w:spacing w:before="0" w:after="0" w:line="480" w:lineRule="auto"/>
              <w:rPr>
                <w:rFonts w:eastAsia="Times New Roman"/>
                <w:lang w:val="en-GB" w:eastAsia="en-GB"/>
              </w:rPr>
            </w:pPr>
            <w:r w:rsidRPr="003F5E04">
              <w:rPr>
                <w:rFonts w:eastAsia="Times New Roman"/>
                <w:lang w:val="en-GB" w:eastAsia="en-GB"/>
              </w:rPr>
              <w:t xml:space="preserve">Cancer  </w:t>
            </w:r>
          </w:p>
        </w:tc>
        <w:tc>
          <w:tcPr>
            <w:tcW w:w="731" w:type="pct"/>
            <w:tcBorders>
              <w:left w:val="single" w:sz="4" w:space="0" w:color="auto"/>
            </w:tcBorders>
          </w:tcPr>
          <w:p w14:paraId="4BF4C1DD" w14:textId="77777777" w:rsidR="00CC7DAD" w:rsidRPr="004E34FD"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512C7F03" w14:textId="77777777" w:rsidTr="002D5FA9">
        <w:tc>
          <w:tcPr>
            <w:tcW w:w="283" w:type="pct"/>
            <w:vMerge/>
            <w:vAlign w:val="center"/>
          </w:tcPr>
          <w:p w14:paraId="24EC3F64"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16489EDF" w14:textId="77777777" w:rsidR="00CC7DAD" w:rsidRPr="003F5E04" w:rsidRDefault="00CC7DAD" w:rsidP="002D5FA9">
            <w:pPr>
              <w:spacing w:before="0" w:after="0" w:line="480" w:lineRule="auto"/>
              <w:rPr>
                <w:rFonts w:eastAsia="Times New Roman"/>
                <w:lang w:val="en-GB" w:eastAsia="en-GB"/>
              </w:rPr>
            </w:pPr>
            <w:r>
              <w:rPr>
                <w:rFonts w:eastAsia="Times New Roman"/>
                <w:lang w:val="en-GB" w:eastAsia="en-GB"/>
              </w:rPr>
              <w:t>Other*</w:t>
            </w:r>
          </w:p>
        </w:tc>
        <w:tc>
          <w:tcPr>
            <w:tcW w:w="731" w:type="pct"/>
            <w:tcBorders>
              <w:left w:val="single" w:sz="4" w:space="0" w:color="auto"/>
            </w:tcBorders>
          </w:tcPr>
          <w:p w14:paraId="7B0385AF" w14:textId="77777777" w:rsidR="00CC7DAD" w:rsidRPr="007730DB" w:rsidRDefault="00CC7DAD" w:rsidP="002D5FA9">
            <w:pPr>
              <w:spacing w:before="120" w:after="120" w:line="360" w:lineRule="auto"/>
              <w:jc w:val="center"/>
              <w:rPr>
                <w:b/>
                <w:szCs w:val="24"/>
                <w:lang w:val="en-IE"/>
              </w:rPr>
            </w:pPr>
            <w:r w:rsidRPr="007730DB">
              <w:rPr>
                <w:b/>
                <w:szCs w:val="24"/>
                <w:lang w:val="en-IE"/>
              </w:rPr>
              <w:fldChar w:fldCharType="begin">
                <w:ffData>
                  <w:name w:val="Check1"/>
                  <w:enabled/>
                  <w:calcOnExit w:val="0"/>
                  <w:checkBox>
                    <w:sizeAuto/>
                    <w:default w:val="0"/>
                  </w:checkBox>
                </w:ffData>
              </w:fldChar>
            </w:r>
            <w:r w:rsidRPr="007730DB">
              <w:rPr>
                <w:b/>
                <w:szCs w:val="24"/>
                <w:lang w:val="en-IE"/>
              </w:rPr>
              <w:instrText xml:space="preserve"> FORMCHECKBOX </w:instrText>
            </w:r>
            <w:r w:rsidR="00160C04">
              <w:rPr>
                <w:b/>
                <w:szCs w:val="24"/>
                <w:lang w:val="en-IE"/>
              </w:rPr>
            </w:r>
            <w:r w:rsidR="00160C04">
              <w:rPr>
                <w:b/>
                <w:szCs w:val="24"/>
                <w:lang w:val="en-IE"/>
              </w:rPr>
              <w:fldChar w:fldCharType="separate"/>
            </w:r>
            <w:r w:rsidRPr="007730DB">
              <w:rPr>
                <w:b/>
                <w:szCs w:val="24"/>
                <w:lang w:val="en-IE"/>
              </w:rPr>
              <w:fldChar w:fldCharType="end"/>
            </w:r>
          </w:p>
        </w:tc>
      </w:tr>
      <w:tr w:rsidR="00CC7DAD" w:rsidRPr="004E34FD" w14:paraId="2BDC37A3" w14:textId="77777777" w:rsidTr="002D5FA9">
        <w:tc>
          <w:tcPr>
            <w:tcW w:w="283" w:type="pct"/>
            <w:vMerge/>
            <w:vAlign w:val="center"/>
          </w:tcPr>
          <w:p w14:paraId="33117A6C" w14:textId="77777777" w:rsidR="00CC7DAD" w:rsidRPr="004E34FD" w:rsidRDefault="00CC7DAD" w:rsidP="002D5FA9">
            <w:pPr>
              <w:spacing w:before="40" w:after="40" w:line="360" w:lineRule="auto"/>
              <w:jc w:val="both"/>
              <w:rPr>
                <w:b/>
                <w:bCs/>
                <w:szCs w:val="24"/>
                <w:lang w:val="en-IE"/>
              </w:rPr>
            </w:pPr>
          </w:p>
        </w:tc>
        <w:tc>
          <w:tcPr>
            <w:tcW w:w="4717" w:type="pct"/>
            <w:gridSpan w:val="2"/>
          </w:tcPr>
          <w:p w14:paraId="40923D07" w14:textId="77777777" w:rsidR="00CC7DAD" w:rsidRDefault="00CC7DAD" w:rsidP="002D5FA9">
            <w:pPr>
              <w:spacing w:line="360" w:lineRule="auto"/>
            </w:pPr>
            <w:r>
              <w:t>*Other (</w:t>
            </w:r>
            <w:r w:rsidRPr="00BA0301">
              <w:rPr>
                <w:i/>
              </w:rPr>
              <w:t>please state)</w:t>
            </w:r>
            <w:r>
              <w:t xml:space="preserve"> </w:t>
            </w:r>
          </w:p>
          <w:p w14:paraId="453C0D6F" w14:textId="77777777" w:rsidR="00CC7DAD" w:rsidRPr="004E34FD" w:rsidRDefault="00CC7DAD" w:rsidP="002D5FA9">
            <w:pPr>
              <w:spacing w:before="120" w:after="120" w:line="360" w:lineRule="auto"/>
              <w:rPr>
                <w:b/>
                <w:szCs w:val="24"/>
                <w:lang w:val="en-IE"/>
              </w:rPr>
            </w:pPr>
          </w:p>
        </w:tc>
      </w:tr>
    </w:tbl>
    <w:p w14:paraId="3A4F39AA" w14:textId="77777777" w:rsidR="00CC7DAD" w:rsidRDefault="00CC7DAD" w:rsidP="00AE785D">
      <w:pPr>
        <w:pStyle w:val="BodyText-parastyle"/>
        <w:rPr>
          <w:rStyle w:val="Strong"/>
        </w:rPr>
      </w:pPr>
    </w:p>
    <w:p w14:paraId="0C63F33F" w14:textId="77777777" w:rsidR="00CC7DAD" w:rsidRPr="00097707" w:rsidRDefault="00CC7DAD" w:rsidP="00AE785D">
      <w:pPr>
        <w:pStyle w:val="BodyText-parastylebold"/>
        <w:rPr>
          <w:rStyle w:val="Strong"/>
          <w:b/>
        </w:rPr>
      </w:pPr>
      <w:r w:rsidRPr="00097707">
        <w:rPr>
          <w:rStyle w:val="Strong"/>
          <w:b/>
        </w:rPr>
        <w:t>Personal Wellbeing</w:t>
      </w:r>
      <w:r w:rsidRPr="00097707">
        <w:rPr>
          <w:rStyle w:val="FootnoteReference"/>
          <w:b w:val="0"/>
        </w:rPr>
        <w:footnoteReference w:id="143"/>
      </w:r>
      <w:r w:rsidRPr="00097707">
        <w:rPr>
          <w:lang w:val="en-US"/>
        </w:rPr>
        <w:t xml:space="preserve"> </w:t>
      </w:r>
    </w:p>
    <w:tbl>
      <w:tblPr>
        <w:tblpPr w:leftFromText="180" w:rightFromText="180" w:vertAnchor="text" w:horzAnchor="margin" w:tblpX="108" w:tblpY="120"/>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7"/>
        <w:gridCol w:w="807"/>
        <w:gridCol w:w="808"/>
        <w:gridCol w:w="807"/>
        <w:gridCol w:w="808"/>
        <w:gridCol w:w="807"/>
        <w:gridCol w:w="808"/>
        <w:gridCol w:w="807"/>
        <w:gridCol w:w="808"/>
        <w:gridCol w:w="807"/>
        <w:gridCol w:w="808"/>
      </w:tblGrid>
      <w:tr w:rsidR="00CC7DAD" w:rsidRPr="00D53318" w14:paraId="50FEA4CD" w14:textId="77777777" w:rsidTr="002D5FA9">
        <w:trPr>
          <w:tblHeader/>
        </w:trPr>
        <w:tc>
          <w:tcPr>
            <w:tcW w:w="675" w:type="dxa"/>
            <w:shd w:val="clear" w:color="auto" w:fill="E0E0E0"/>
            <w:vAlign w:val="center"/>
          </w:tcPr>
          <w:p w14:paraId="71776C1C"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8882" w:type="dxa"/>
            <w:gridSpan w:val="11"/>
            <w:shd w:val="clear" w:color="auto" w:fill="E0E0E0"/>
            <w:vAlign w:val="center"/>
          </w:tcPr>
          <w:p w14:paraId="0D7B5F2B" w14:textId="77777777" w:rsidR="00CC7DAD" w:rsidRDefault="00CC7DAD"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how </w:t>
            </w:r>
            <w:r w:rsidRPr="00730069">
              <w:rPr>
                <w:b/>
              </w:rPr>
              <w:t>satisfied are you with your life nowadays</w:t>
            </w:r>
            <w:r w:rsidRPr="00D53318">
              <w:rPr>
                <w:b/>
              </w:rPr>
              <w:t>?</w:t>
            </w:r>
            <w:r>
              <w:rPr>
                <w:b/>
              </w:rPr>
              <w:t xml:space="preserve"> </w:t>
            </w:r>
            <w:r w:rsidRPr="00D53318">
              <w:rPr>
                <w:i/>
              </w:rPr>
              <w:t xml:space="preserve">Tick one </w:t>
            </w:r>
          </w:p>
        </w:tc>
      </w:tr>
      <w:tr w:rsidR="00CC7DAD" w:rsidRPr="00D53318" w:rsidDel="00DC6327" w14:paraId="74CEE244" w14:textId="77777777" w:rsidTr="002D5FA9">
        <w:trPr>
          <w:trHeight w:val="329"/>
        </w:trPr>
        <w:tc>
          <w:tcPr>
            <w:tcW w:w="675" w:type="dxa"/>
            <w:vMerge w:val="restart"/>
            <w:vAlign w:val="center"/>
          </w:tcPr>
          <w:p w14:paraId="54051E71" w14:textId="77777777" w:rsidR="00CC7DAD" w:rsidRPr="00D53318" w:rsidRDefault="00CC7DAD" w:rsidP="002D5FA9">
            <w:pPr>
              <w:spacing w:before="40" w:after="40" w:line="360" w:lineRule="auto"/>
              <w:rPr>
                <w:b/>
                <w:bCs/>
              </w:rPr>
            </w:pPr>
          </w:p>
        </w:tc>
        <w:tc>
          <w:tcPr>
            <w:tcW w:w="807" w:type="dxa"/>
            <w:vAlign w:val="center"/>
          </w:tcPr>
          <w:p w14:paraId="636DCA50" w14:textId="77777777" w:rsidR="00CC7DAD" w:rsidRPr="003F5E04" w:rsidRDefault="00CC7DAD" w:rsidP="002D5FA9">
            <w:pPr>
              <w:spacing w:before="40" w:after="40" w:line="360" w:lineRule="auto"/>
              <w:jc w:val="center"/>
              <w:rPr>
                <w:b/>
              </w:rPr>
            </w:pPr>
            <w:r w:rsidRPr="003F5E04">
              <w:rPr>
                <w:b/>
              </w:rPr>
              <w:t>0</w:t>
            </w:r>
          </w:p>
        </w:tc>
        <w:tc>
          <w:tcPr>
            <w:tcW w:w="807" w:type="dxa"/>
            <w:vAlign w:val="center"/>
          </w:tcPr>
          <w:p w14:paraId="05F7432C" w14:textId="77777777" w:rsidR="00CC7DAD" w:rsidRPr="003F5E04" w:rsidRDefault="00CC7DAD" w:rsidP="002D5FA9">
            <w:pPr>
              <w:spacing w:before="40" w:after="40" w:line="360" w:lineRule="auto"/>
              <w:jc w:val="center"/>
              <w:rPr>
                <w:b/>
              </w:rPr>
            </w:pPr>
            <w:r w:rsidRPr="003F5E04">
              <w:rPr>
                <w:b/>
              </w:rPr>
              <w:t>1</w:t>
            </w:r>
          </w:p>
        </w:tc>
        <w:tc>
          <w:tcPr>
            <w:tcW w:w="808" w:type="dxa"/>
            <w:vAlign w:val="center"/>
          </w:tcPr>
          <w:p w14:paraId="79D895DE" w14:textId="77777777" w:rsidR="00CC7DAD" w:rsidRPr="003F5E04" w:rsidRDefault="00CC7DAD" w:rsidP="002D5FA9">
            <w:pPr>
              <w:spacing w:before="40" w:after="40" w:line="360" w:lineRule="auto"/>
              <w:jc w:val="center"/>
              <w:rPr>
                <w:b/>
              </w:rPr>
            </w:pPr>
            <w:r w:rsidRPr="003F5E04">
              <w:rPr>
                <w:b/>
              </w:rPr>
              <w:t>2</w:t>
            </w:r>
          </w:p>
        </w:tc>
        <w:tc>
          <w:tcPr>
            <w:tcW w:w="807" w:type="dxa"/>
            <w:vAlign w:val="center"/>
          </w:tcPr>
          <w:p w14:paraId="04FA7045" w14:textId="77777777" w:rsidR="00CC7DAD" w:rsidRPr="003F5E04" w:rsidRDefault="00CC7DAD" w:rsidP="002D5FA9">
            <w:pPr>
              <w:spacing w:before="40" w:after="40" w:line="360" w:lineRule="auto"/>
              <w:jc w:val="center"/>
              <w:rPr>
                <w:b/>
              </w:rPr>
            </w:pPr>
            <w:r w:rsidRPr="003F5E04">
              <w:rPr>
                <w:b/>
              </w:rPr>
              <w:t>3</w:t>
            </w:r>
          </w:p>
        </w:tc>
        <w:tc>
          <w:tcPr>
            <w:tcW w:w="808" w:type="dxa"/>
            <w:vAlign w:val="center"/>
          </w:tcPr>
          <w:p w14:paraId="16B1BC0B" w14:textId="77777777" w:rsidR="00CC7DAD" w:rsidRPr="003F5E04" w:rsidRDefault="00CC7DAD" w:rsidP="002D5FA9">
            <w:pPr>
              <w:spacing w:before="40" w:after="40" w:line="360" w:lineRule="auto"/>
              <w:jc w:val="center"/>
              <w:rPr>
                <w:b/>
              </w:rPr>
            </w:pPr>
            <w:r w:rsidRPr="003F5E04">
              <w:rPr>
                <w:b/>
              </w:rPr>
              <w:t>4</w:t>
            </w:r>
          </w:p>
        </w:tc>
        <w:tc>
          <w:tcPr>
            <w:tcW w:w="807" w:type="dxa"/>
            <w:vAlign w:val="center"/>
          </w:tcPr>
          <w:p w14:paraId="3B87B595" w14:textId="77777777" w:rsidR="00CC7DAD" w:rsidRPr="00730069" w:rsidRDefault="00CC7DAD" w:rsidP="002D5FA9">
            <w:pPr>
              <w:spacing w:before="40" w:after="40" w:line="360" w:lineRule="auto"/>
              <w:jc w:val="center"/>
              <w:rPr>
                <w:b/>
              </w:rPr>
            </w:pPr>
            <w:r w:rsidRPr="00730069">
              <w:rPr>
                <w:b/>
              </w:rPr>
              <w:t>5</w:t>
            </w:r>
          </w:p>
        </w:tc>
        <w:tc>
          <w:tcPr>
            <w:tcW w:w="808" w:type="dxa"/>
            <w:vAlign w:val="center"/>
          </w:tcPr>
          <w:p w14:paraId="604DE8D2" w14:textId="77777777" w:rsidR="00CC7DAD" w:rsidRPr="00730069" w:rsidRDefault="00CC7DAD" w:rsidP="002D5FA9">
            <w:pPr>
              <w:spacing w:before="40" w:after="40" w:line="360" w:lineRule="auto"/>
              <w:jc w:val="center"/>
              <w:rPr>
                <w:b/>
              </w:rPr>
            </w:pPr>
            <w:r w:rsidRPr="00730069">
              <w:rPr>
                <w:b/>
              </w:rPr>
              <w:t>6</w:t>
            </w:r>
          </w:p>
        </w:tc>
        <w:tc>
          <w:tcPr>
            <w:tcW w:w="807" w:type="dxa"/>
            <w:vAlign w:val="center"/>
          </w:tcPr>
          <w:p w14:paraId="27E9BC5F" w14:textId="77777777" w:rsidR="00CC7DAD" w:rsidRPr="00730069" w:rsidRDefault="00CC7DAD" w:rsidP="002D5FA9">
            <w:pPr>
              <w:spacing w:before="40" w:after="40" w:line="360" w:lineRule="auto"/>
              <w:jc w:val="center"/>
              <w:rPr>
                <w:b/>
              </w:rPr>
            </w:pPr>
            <w:r w:rsidRPr="00730069">
              <w:rPr>
                <w:b/>
              </w:rPr>
              <w:t>7</w:t>
            </w:r>
          </w:p>
        </w:tc>
        <w:tc>
          <w:tcPr>
            <w:tcW w:w="808" w:type="dxa"/>
            <w:vAlign w:val="center"/>
          </w:tcPr>
          <w:p w14:paraId="4CEC5A8F" w14:textId="77777777" w:rsidR="00CC7DAD" w:rsidRPr="00730069" w:rsidRDefault="00CC7DAD" w:rsidP="002D5FA9">
            <w:pPr>
              <w:spacing w:before="40" w:after="40" w:line="360" w:lineRule="auto"/>
              <w:jc w:val="center"/>
              <w:rPr>
                <w:b/>
              </w:rPr>
            </w:pPr>
            <w:r w:rsidRPr="00730069">
              <w:rPr>
                <w:b/>
              </w:rPr>
              <w:t>8</w:t>
            </w:r>
          </w:p>
        </w:tc>
        <w:tc>
          <w:tcPr>
            <w:tcW w:w="807" w:type="dxa"/>
            <w:vAlign w:val="center"/>
          </w:tcPr>
          <w:p w14:paraId="225AF5D2" w14:textId="77777777" w:rsidR="00CC7DAD" w:rsidRPr="00730069" w:rsidRDefault="00CC7DAD" w:rsidP="002D5FA9">
            <w:pPr>
              <w:spacing w:before="40" w:after="40" w:line="360" w:lineRule="auto"/>
              <w:jc w:val="center"/>
              <w:rPr>
                <w:b/>
              </w:rPr>
            </w:pPr>
            <w:r w:rsidRPr="00730069">
              <w:rPr>
                <w:b/>
              </w:rPr>
              <w:t>9</w:t>
            </w:r>
          </w:p>
        </w:tc>
        <w:tc>
          <w:tcPr>
            <w:tcW w:w="808" w:type="dxa"/>
            <w:vAlign w:val="center"/>
          </w:tcPr>
          <w:p w14:paraId="169532E9" w14:textId="77777777" w:rsidR="00CC7DAD" w:rsidRPr="00730069" w:rsidRDefault="00CC7DAD" w:rsidP="002D5FA9">
            <w:pPr>
              <w:spacing w:before="40" w:after="40" w:line="360" w:lineRule="auto"/>
              <w:jc w:val="center"/>
              <w:rPr>
                <w:b/>
              </w:rPr>
            </w:pPr>
            <w:r w:rsidRPr="00730069">
              <w:rPr>
                <w:b/>
              </w:rPr>
              <w:t>10</w:t>
            </w:r>
          </w:p>
        </w:tc>
      </w:tr>
      <w:tr w:rsidR="00CC7DAD" w:rsidRPr="00D53318" w:rsidDel="00DC6327" w14:paraId="4CC5B472" w14:textId="77777777" w:rsidTr="002D5FA9">
        <w:trPr>
          <w:trHeight w:val="281"/>
        </w:trPr>
        <w:tc>
          <w:tcPr>
            <w:tcW w:w="675" w:type="dxa"/>
            <w:vMerge/>
            <w:vAlign w:val="center"/>
          </w:tcPr>
          <w:p w14:paraId="3FCB51CD" w14:textId="77777777" w:rsidR="00CC7DAD" w:rsidRPr="00D53318" w:rsidRDefault="00CC7DAD" w:rsidP="002D5FA9">
            <w:pPr>
              <w:spacing w:before="40" w:after="40" w:line="360" w:lineRule="auto"/>
              <w:rPr>
                <w:b/>
                <w:bCs/>
              </w:rPr>
            </w:pPr>
          </w:p>
        </w:tc>
        <w:tc>
          <w:tcPr>
            <w:tcW w:w="807" w:type="dxa"/>
            <w:vAlign w:val="center"/>
          </w:tcPr>
          <w:p w14:paraId="760DEC21"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0F2892D8"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22962ED4"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768F43FE"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71306453"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6885CA7F"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6FB65E33"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4248B23A"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9EA43E4"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2B3B8674"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25A1D71A"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tbl>
      <w:tblPr>
        <w:tblW w:w="9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8"/>
        <w:gridCol w:w="807"/>
        <w:gridCol w:w="808"/>
        <w:gridCol w:w="807"/>
        <w:gridCol w:w="808"/>
        <w:gridCol w:w="807"/>
        <w:gridCol w:w="808"/>
        <w:gridCol w:w="807"/>
        <w:gridCol w:w="808"/>
        <w:gridCol w:w="807"/>
        <w:gridCol w:w="808"/>
      </w:tblGrid>
      <w:tr w:rsidR="00CC7DAD" w:rsidRPr="00D53318" w14:paraId="3D3450A1" w14:textId="77777777" w:rsidTr="002D5FA9">
        <w:trPr>
          <w:tblHeader/>
        </w:trPr>
        <w:tc>
          <w:tcPr>
            <w:tcW w:w="567" w:type="dxa"/>
            <w:shd w:val="clear" w:color="auto" w:fill="E0E0E0"/>
            <w:vAlign w:val="center"/>
          </w:tcPr>
          <w:p w14:paraId="57A85580"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8853" w:type="dxa"/>
            <w:gridSpan w:val="11"/>
            <w:shd w:val="clear" w:color="auto" w:fill="E0E0E0"/>
            <w:vAlign w:val="center"/>
          </w:tcPr>
          <w:p w14:paraId="6FE4F267" w14:textId="77777777" w:rsidR="00CC7DAD" w:rsidRDefault="00CC7DAD"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to what extent do you feel the things you do in your life are worthwhile</w:t>
            </w:r>
            <w:r w:rsidRPr="00D53318">
              <w:rPr>
                <w:b/>
              </w:rPr>
              <w:t>?</w:t>
            </w:r>
            <w:r>
              <w:rPr>
                <w:b/>
              </w:rPr>
              <w:t xml:space="preserve"> </w:t>
            </w:r>
            <w:r w:rsidRPr="00D53318">
              <w:rPr>
                <w:i/>
              </w:rPr>
              <w:t xml:space="preserve">Tick one </w:t>
            </w:r>
          </w:p>
        </w:tc>
      </w:tr>
      <w:tr w:rsidR="00CC7DAD" w:rsidRPr="00D53318" w:rsidDel="00DC6327" w14:paraId="6C36F545" w14:textId="77777777" w:rsidTr="002D5FA9">
        <w:trPr>
          <w:trHeight w:val="329"/>
        </w:trPr>
        <w:tc>
          <w:tcPr>
            <w:tcW w:w="567" w:type="dxa"/>
            <w:vMerge w:val="restart"/>
            <w:vAlign w:val="center"/>
          </w:tcPr>
          <w:p w14:paraId="1B060A08" w14:textId="77777777" w:rsidR="00CC7DAD" w:rsidRPr="00D53318" w:rsidRDefault="00CC7DAD" w:rsidP="002D5FA9">
            <w:pPr>
              <w:spacing w:before="40" w:after="40" w:line="360" w:lineRule="auto"/>
              <w:rPr>
                <w:b/>
                <w:bCs/>
              </w:rPr>
            </w:pPr>
          </w:p>
        </w:tc>
        <w:tc>
          <w:tcPr>
            <w:tcW w:w="778" w:type="dxa"/>
            <w:vAlign w:val="center"/>
          </w:tcPr>
          <w:p w14:paraId="51BB8AB4" w14:textId="77777777" w:rsidR="00CC7DAD" w:rsidRPr="003F5E04" w:rsidRDefault="00CC7DAD" w:rsidP="002D5FA9">
            <w:pPr>
              <w:spacing w:before="40" w:after="40" w:line="360" w:lineRule="auto"/>
              <w:jc w:val="center"/>
              <w:rPr>
                <w:b/>
              </w:rPr>
            </w:pPr>
            <w:r w:rsidRPr="003F5E04">
              <w:rPr>
                <w:b/>
              </w:rPr>
              <w:t>0</w:t>
            </w:r>
          </w:p>
        </w:tc>
        <w:tc>
          <w:tcPr>
            <w:tcW w:w="807" w:type="dxa"/>
            <w:vAlign w:val="center"/>
          </w:tcPr>
          <w:p w14:paraId="22C50544" w14:textId="77777777" w:rsidR="00CC7DAD" w:rsidRPr="003F5E04" w:rsidRDefault="00CC7DAD" w:rsidP="002D5FA9">
            <w:pPr>
              <w:spacing w:before="40" w:after="40" w:line="360" w:lineRule="auto"/>
              <w:jc w:val="center"/>
              <w:rPr>
                <w:b/>
              </w:rPr>
            </w:pPr>
            <w:r w:rsidRPr="003F5E04">
              <w:rPr>
                <w:b/>
              </w:rPr>
              <w:t>1</w:t>
            </w:r>
          </w:p>
        </w:tc>
        <w:tc>
          <w:tcPr>
            <w:tcW w:w="808" w:type="dxa"/>
            <w:vAlign w:val="center"/>
          </w:tcPr>
          <w:p w14:paraId="7B67CE6D" w14:textId="77777777" w:rsidR="00CC7DAD" w:rsidRPr="003F5E04" w:rsidRDefault="00CC7DAD" w:rsidP="002D5FA9">
            <w:pPr>
              <w:spacing w:before="40" w:after="40" w:line="360" w:lineRule="auto"/>
              <w:jc w:val="center"/>
              <w:rPr>
                <w:b/>
              </w:rPr>
            </w:pPr>
            <w:r w:rsidRPr="003F5E04">
              <w:rPr>
                <w:b/>
              </w:rPr>
              <w:t>2</w:t>
            </w:r>
          </w:p>
        </w:tc>
        <w:tc>
          <w:tcPr>
            <w:tcW w:w="807" w:type="dxa"/>
            <w:vAlign w:val="center"/>
          </w:tcPr>
          <w:p w14:paraId="58672BCC" w14:textId="77777777" w:rsidR="00CC7DAD" w:rsidRPr="003F5E04" w:rsidRDefault="00CC7DAD" w:rsidP="002D5FA9">
            <w:pPr>
              <w:spacing w:before="40" w:after="40" w:line="360" w:lineRule="auto"/>
              <w:jc w:val="center"/>
              <w:rPr>
                <w:b/>
              </w:rPr>
            </w:pPr>
            <w:r w:rsidRPr="003F5E04">
              <w:rPr>
                <w:b/>
              </w:rPr>
              <w:t>3</w:t>
            </w:r>
          </w:p>
        </w:tc>
        <w:tc>
          <w:tcPr>
            <w:tcW w:w="808" w:type="dxa"/>
            <w:vAlign w:val="center"/>
          </w:tcPr>
          <w:p w14:paraId="09082939" w14:textId="77777777" w:rsidR="00CC7DAD" w:rsidRPr="003F5E04" w:rsidRDefault="00CC7DAD" w:rsidP="002D5FA9">
            <w:pPr>
              <w:spacing w:before="40" w:after="40" w:line="360" w:lineRule="auto"/>
              <w:jc w:val="center"/>
              <w:rPr>
                <w:b/>
              </w:rPr>
            </w:pPr>
            <w:r w:rsidRPr="003F5E04">
              <w:rPr>
                <w:b/>
              </w:rPr>
              <w:t>4</w:t>
            </w:r>
          </w:p>
        </w:tc>
        <w:tc>
          <w:tcPr>
            <w:tcW w:w="807" w:type="dxa"/>
            <w:vAlign w:val="center"/>
          </w:tcPr>
          <w:p w14:paraId="192229B4" w14:textId="77777777" w:rsidR="00CC7DAD" w:rsidRPr="00730069" w:rsidRDefault="00CC7DAD" w:rsidP="002D5FA9">
            <w:pPr>
              <w:spacing w:before="40" w:after="40" w:line="360" w:lineRule="auto"/>
              <w:jc w:val="center"/>
              <w:rPr>
                <w:b/>
              </w:rPr>
            </w:pPr>
            <w:r w:rsidRPr="00730069">
              <w:rPr>
                <w:b/>
              </w:rPr>
              <w:t>5</w:t>
            </w:r>
          </w:p>
        </w:tc>
        <w:tc>
          <w:tcPr>
            <w:tcW w:w="808" w:type="dxa"/>
            <w:vAlign w:val="center"/>
          </w:tcPr>
          <w:p w14:paraId="4EA6A87E" w14:textId="77777777" w:rsidR="00CC7DAD" w:rsidRPr="00730069" w:rsidRDefault="00CC7DAD" w:rsidP="002D5FA9">
            <w:pPr>
              <w:spacing w:before="40" w:after="40" w:line="360" w:lineRule="auto"/>
              <w:jc w:val="center"/>
              <w:rPr>
                <w:b/>
              </w:rPr>
            </w:pPr>
            <w:r w:rsidRPr="00730069">
              <w:rPr>
                <w:b/>
              </w:rPr>
              <w:t>6</w:t>
            </w:r>
          </w:p>
        </w:tc>
        <w:tc>
          <w:tcPr>
            <w:tcW w:w="807" w:type="dxa"/>
            <w:vAlign w:val="center"/>
          </w:tcPr>
          <w:p w14:paraId="6A9ADC43" w14:textId="77777777" w:rsidR="00CC7DAD" w:rsidRPr="00730069" w:rsidRDefault="00CC7DAD" w:rsidP="002D5FA9">
            <w:pPr>
              <w:spacing w:before="40" w:after="40" w:line="360" w:lineRule="auto"/>
              <w:jc w:val="center"/>
              <w:rPr>
                <w:b/>
              </w:rPr>
            </w:pPr>
            <w:r w:rsidRPr="00730069">
              <w:rPr>
                <w:b/>
              </w:rPr>
              <w:t>7</w:t>
            </w:r>
          </w:p>
        </w:tc>
        <w:tc>
          <w:tcPr>
            <w:tcW w:w="808" w:type="dxa"/>
            <w:vAlign w:val="center"/>
          </w:tcPr>
          <w:p w14:paraId="5200E528" w14:textId="77777777" w:rsidR="00CC7DAD" w:rsidRPr="00730069" w:rsidRDefault="00CC7DAD" w:rsidP="002D5FA9">
            <w:pPr>
              <w:spacing w:before="40" w:after="40" w:line="360" w:lineRule="auto"/>
              <w:jc w:val="center"/>
              <w:rPr>
                <w:b/>
              </w:rPr>
            </w:pPr>
            <w:r w:rsidRPr="00730069">
              <w:rPr>
                <w:b/>
              </w:rPr>
              <w:t>8</w:t>
            </w:r>
          </w:p>
        </w:tc>
        <w:tc>
          <w:tcPr>
            <w:tcW w:w="807" w:type="dxa"/>
            <w:vAlign w:val="center"/>
          </w:tcPr>
          <w:p w14:paraId="0764222D" w14:textId="77777777" w:rsidR="00CC7DAD" w:rsidRPr="00730069" w:rsidRDefault="00CC7DAD" w:rsidP="002D5FA9">
            <w:pPr>
              <w:spacing w:before="40" w:after="40" w:line="360" w:lineRule="auto"/>
              <w:jc w:val="center"/>
              <w:rPr>
                <w:b/>
              </w:rPr>
            </w:pPr>
            <w:r w:rsidRPr="00730069">
              <w:rPr>
                <w:b/>
              </w:rPr>
              <w:t>9</w:t>
            </w:r>
          </w:p>
        </w:tc>
        <w:tc>
          <w:tcPr>
            <w:tcW w:w="808" w:type="dxa"/>
            <w:vAlign w:val="center"/>
          </w:tcPr>
          <w:p w14:paraId="277FC861" w14:textId="77777777" w:rsidR="00CC7DAD" w:rsidRPr="00730069" w:rsidRDefault="00CC7DAD" w:rsidP="002D5FA9">
            <w:pPr>
              <w:spacing w:before="40" w:after="40" w:line="360" w:lineRule="auto"/>
              <w:jc w:val="center"/>
              <w:rPr>
                <w:b/>
              </w:rPr>
            </w:pPr>
            <w:r w:rsidRPr="00730069">
              <w:rPr>
                <w:b/>
              </w:rPr>
              <w:t>10</w:t>
            </w:r>
          </w:p>
        </w:tc>
      </w:tr>
      <w:tr w:rsidR="00CC7DAD" w:rsidRPr="00D53318" w:rsidDel="00DC6327" w14:paraId="31CD105F" w14:textId="77777777" w:rsidTr="002D5FA9">
        <w:trPr>
          <w:trHeight w:val="281"/>
        </w:trPr>
        <w:tc>
          <w:tcPr>
            <w:tcW w:w="567" w:type="dxa"/>
            <w:vMerge/>
            <w:vAlign w:val="center"/>
          </w:tcPr>
          <w:p w14:paraId="136C5593" w14:textId="77777777" w:rsidR="00CC7DAD" w:rsidRPr="00D53318" w:rsidRDefault="00CC7DAD" w:rsidP="002D5FA9">
            <w:pPr>
              <w:spacing w:before="40" w:after="40" w:line="360" w:lineRule="auto"/>
              <w:rPr>
                <w:b/>
                <w:bCs/>
              </w:rPr>
            </w:pPr>
          </w:p>
        </w:tc>
        <w:tc>
          <w:tcPr>
            <w:tcW w:w="778" w:type="dxa"/>
            <w:vAlign w:val="center"/>
          </w:tcPr>
          <w:p w14:paraId="3E1BA578"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45A7C7DB"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50AAFF8A"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4B1A28F3"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45A1C79F"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6A73F454"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D7124FC"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78A4DC04"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67998B0C"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08784678"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09342DC8"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22F9E7A0" w14:textId="77777777" w:rsidR="00CC7DAD" w:rsidRDefault="00CC7DAD" w:rsidP="00CC7DAD">
      <w:pPr>
        <w:framePr w:hSpace="180" w:wrap="around" w:vAnchor="text" w:hAnchor="margin" w:x="108" w:y="120"/>
        <w:spacing w:before="40" w:after="40"/>
        <w:jc w:val="both"/>
        <w:rPr>
          <w:b/>
        </w:rPr>
      </w:pPr>
    </w:p>
    <w:tbl>
      <w:tblPr>
        <w:tblW w:w="9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07"/>
        <w:gridCol w:w="807"/>
        <w:gridCol w:w="808"/>
        <w:gridCol w:w="807"/>
        <w:gridCol w:w="808"/>
        <w:gridCol w:w="807"/>
        <w:gridCol w:w="808"/>
        <w:gridCol w:w="807"/>
        <w:gridCol w:w="808"/>
        <w:gridCol w:w="807"/>
        <w:gridCol w:w="808"/>
      </w:tblGrid>
      <w:tr w:rsidR="00CC7DAD" w:rsidRPr="00D53318" w14:paraId="0D445ECF" w14:textId="77777777" w:rsidTr="002D5FA9">
        <w:trPr>
          <w:tblHeader/>
        </w:trPr>
        <w:tc>
          <w:tcPr>
            <w:tcW w:w="538" w:type="dxa"/>
            <w:shd w:val="clear" w:color="auto" w:fill="E0E0E0"/>
            <w:vAlign w:val="center"/>
          </w:tcPr>
          <w:p w14:paraId="6837BA2B"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8882" w:type="dxa"/>
            <w:gridSpan w:val="11"/>
            <w:shd w:val="clear" w:color="auto" w:fill="E0E0E0"/>
            <w:vAlign w:val="center"/>
          </w:tcPr>
          <w:p w14:paraId="3CEDE3AE" w14:textId="77777777" w:rsidR="00CC7DAD" w:rsidRDefault="00CC7DAD"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how happy did you feel yesterday</w:t>
            </w:r>
            <w:r w:rsidRPr="00D53318">
              <w:rPr>
                <w:b/>
              </w:rPr>
              <w:t>?</w:t>
            </w:r>
            <w:r>
              <w:rPr>
                <w:b/>
              </w:rPr>
              <w:t xml:space="preserve"> </w:t>
            </w:r>
            <w:r w:rsidRPr="00D53318">
              <w:rPr>
                <w:i/>
              </w:rPr>
              <w:t xml:space="preserve">Tick one </w:t>
            </w:r>
          </w:p>
        </w:tc>
      </w:tr>
      <w:tr w:rsidR="00CC7DAD" w:rsidRPr="00D53318" w:rsidDel="00DC6327" w14:paraId="7777AB2F" w14:textId="77777777" w:rsidTr="002D5FA9">
        <w:trPr>
          <w:trHeight w:val="329"/>
        </w:trPr>
        <w:tc>
          <w:tcPr>
            <w:tcW w:w="538" w:type="dxa"/>
            <w:vMerge w:val="restart"/>
            <w:vAlign w:val="center"/>
          </w:tcPr>
          <w:p w14:paraId="12F5E173" w14:textId="77777777" w:rsidR="00CC7DAD" w:rsidRPr="00D53318" w:rsidRDefault="00CC7DAD" w:rsidP="002D5FA9">
            <w:pPr>
              <w:spacing w:before="40" w:after="40" w:line="360" w:lineRule="auto"/>
              <w:rPr>
                <w:b/>
                <w:bCs/>
              </w:rPr>
            </w:pPr>
          </w:p>
        </w:tc>
        <w:tc>
          <w:tcPr>
            <w:tcW w:w="807" w:type="dxa"/>
            <w:vAlign w:val="center"/>
          </w:tcPr>
          <w:p w14:paraId="7DD6BFBB" w14:textId="77777777" w:rsidR="00CC7DAD" w:rsidRPr="003F5E04" w:rsidRDefault="00CC7DAD" w:rsidP="002D5FA9">
            <w:pPr>
              <w:spacing w:before="40" w:after="40" w:line="360" w:lineRule="auto"/>
              <w:jc w:val="center"/>
              <w:rPr>
                <w:b/>
              </w:rPr>
            </w:pPr>
            <w:r w:rsidRPr="003F5E04">
              <w:rPr>
                <w:b/>
              </w:rPr>
              <w:t>0</w:t>
            </w:r>
          </w:p>
        </w:tc>
        <w:tc>
          <w:tcPr>
            <w:tcW w:w="807" w:type="dxa"/>
            <w:vAlign w:val="center"/>
          </w:tcPr>
          <w:p w14:paraId="328669A9" w14:textId="77777777" w:rsidR="00CC7DAD" w:rsidRPr="003F5E04" w:rsidRDefault="00CC7DAD" w:rsidP="002D5FA9">
            <w:pPr>
              <w:spacing w:before="40" w:after="40" w:line="360" w:lineRule="auto"/>
              <w:jc w:val="center"/>
              <w:rPr>
                <w:b/>
              </w:rPr>
            </w:pPr>
            <w:r w:rsidRPr="003F5E04">
              <w:rPr>
                <w:b/>
              </w:rPr>
              <w:t>1</w:t>
            </w:r>
          </w:p>
        </w:tc>
        <w:tc>
          <w:tcPr>
            <w:tcW w:w="808" w:type="dxa"/>
            <w:vAlign w:val="center"/>
          </w:tcPr>
          <w:p w14:paraId="699054A1" w14:textId="77777777" w:rsidR="00CC7DAD" w:rsidRPr="003F5E04" w:rsidRDefault="00CC7DAD" w:rsidP="002D5FA9">
            <w:pPr>
              <w:spacing w:before="40" w:after="40" w:line="360" w:lineRule="auto"/>
              <w:jc w:val="center"/>
              <w:rPr>
                <w:b/>
              </w:rPr>
            </w:pPr>
            <w:r w:rsidRPr="003F5E04">
              <w:rPr>
                <w:b/>
              </w:rPr>
              <w:t>2</w:t>
            </w:r>
          </w:p>
        </w:tc>
        <w:tc>
          <w:tcPr>
            <w:tcW w:w="807" w:type="dxa"/>
            <w:vAlign w:val="center"/>
          </w:tcPr>
          <w:p w14:paraId="610B9554" w14:textId="77777777" w:rsidR="00CC7DAD" w:rsidRPr="003F5E04" w:rsidRDefault="00CC7DAD" w:rsidP="002D5FA9">
            <w:pPr>
              <w:spacing w:before="40" w:after="40" w:line="360" w:lineRule="auto"/>
              <w:jc w:val="center"/>
              <w:rPr>
                <w:b/>
              </w:rPr>
            </w:pPr>
            <w:r w:rsidRPr="003F5E04">
              <w:rPr>
                <w:b/>
              </w:rPr>
              <w:t>3</w:t>
            </w:r>
          </w:p>
        </w:tc>
        <w:tc>
          <w:tcPr>
            <w:tcW w:w="808" w:type="dxa"/>
            <w:vAlign w:val="center"/>
          </w:tcPr>
          <w:p w14:paraId="146CA67D" w14:textId="77777777" w:rsidR="00CC7DAD" w:rsidRPr="003F5E04" w:rsidRDefault="00CC7DAD" w:rsidP="002D5FA9">
            <w:pPr>
              <w:spacing w:before="40" w:after="40" w:line="360" w:lineRule="auto"/>
              <w:jc w:val="center"/>
              <w:rPr>
                <w:b/>
              </w:rPr>
            </w:pPr>
            <w:r w:rsidRPr="003F5E04">
              <w:rPr>
                <w:b/>
              </w:rPr>
              <w:t>4</w:t>
            </w:r>
          </w:p>
        </w:tc>
        <w:tc>
          <w:tcPr>
            <w:tcW w:w="807" w:type="dxa"/>
            <w:vAlign w:val="center"/>
          </w:tcPr>
          <w:p w14:paraId="273BBD43" w14:textId="77777777" w:rsidR="00CC7DAD" w:rsidRPr="00730069" w:rsidRDefault="00CC7DAD" w:rsidP="002D5FA9">
            <w:pPr>
              <w:spacing w:before="40" w:after="40" w:line="360" w:lineRule="auto"/>
              <w:jc w:val="center"/>
              <w:rPr>
                <w:b/>
              </w:rPr>
            </w:pPr>
            <w:r w:rsidRPr="00730069">
              <w:rPr>
                <w:b/>
              </w:rPr>
              <w:t>5</w:t>
            </w:r>
          </w:p>
        </w:tc>
        <w:tc>
          <w:tcPr>
            <w:tcW w:w="808" w:type="dxa"/>
            <w:vAlign w:val="center"/>
          </w:tcPr>
          <w:p w14:paraId="39D8817E" w14:textId="77777777" w:rsidR="00CC7DAD" w:rsidRPr="00730069" w:rsidRDefault="00CC7DAD" w:rsidP="002D5FA9">
            <w:pPr>
              <w:spacing w:before="40" w:after="40" w:line="360" w:lineRule="auto"/>
              <w:jc w:val="center"/>
              <w:rPr>
                <w:b/>
              </w:rPr>
            </w:pPr>
            <w:r w:rsidRPr="00730069">
              <w:rPr>
                <w:b/>
              </w:rPr>
              <w:t>6</w:t>
            </w:r>
          </w:p>
        </w:tc>
        <w:tc>
          <w:tcPr>
            <w:tcW w:w="807" w:type="dxa"/>
            <w:vAlign w:val="center"/>
          </w:tcPr>
          <w:p w14:paraId="41EC838F" w14:textId="77777777" w:rsidR="00CC7DAD" w:rsidRPr="00730069" w:rsidRDefault="00CC7DAD" w:rsidP="002D5FA9">
            <w:pPr>
              <w:spacing w:before="40" w:after="40" w:line="360" w:lineRule="auto"/>
              <w:jc w:val="center"/>
              <w:rPr>
                <w:b/>
              </w:rPr>
            </w:pPr>
            <w:r w:rsidRPr="00730069">
              <w:rPr>
                <w:b/>
              </w:rPr>
              <w:t>7</w:t>
            </w:r>
          </w:p>
        </w:tc>
        <w:tc>
          <w:tcPr>
            <w:tcW w:w="808" w:type="dxa"/>
            <w:vAlign w:val="center"/>
          </w:tcPr>
          <w:p w14:paraId="297FD50D" w14:textId="77777777" w:rsidR="00CC7DAD" w:rsidRPr="00730069" w:rsidRDefault="00CC7DAD" w:rsidP="002D5FA9">
            <w:pPr>
              <w:spacing w:before="40" w:after="40" w:line="360" w:lineRule="auto"/>
              <w:jc w:val="center"/>
              <w:rPr>
                <w:b/>
              </w:rPr>
            </w:pPr>
            <w:r w:rsidRPr="00730069">
              <w:rPr>
                <w:b/>
              </w:rPr>
              <w:t>8</w:t>
            </w:r>
          </w:p>
        </w:tc>
        <w:tc>
          <w:tcPr>
            <w:tcW w:w="807" w:type="dxa"/>
            <w:vAlign w:val="center"/>
          </w:tcPr>
          <w:p w14:paraId="281D0DDE" w14:textId="77777777" w:rsidR="00CC7DAD" w:rsidRPr="00730069" w:rsidRDefault="00CC7DAD" w:rsidP="002D5FA9">
            <w:pPr>
              <w:spacing w:before="40" w:after="40" w:line="360" w:lineRule="auto"/>
              <w:jc w:val="center"/>
              <w:rPr>
                <w:b/>
              </w:rPr>
            </w:pPr>
            <w:r w:rsidRPr="00730069">
              <w:rPr>
                <w:b/>
              </w:rPr>
              <w:t>9</w:t>
            </w:r>
          </w:p>
        </w:tc>
        <w:tc>
          <w:tcPr>
            <w:tcW w:w="808" w:type="dxa"/>
            <w:vAlign w:val="center"/>
          </w:tcPr>
          <w:p w14:paraId="7DA9D5B0" w14:textId="77777777" w:rsidR="00CC7DAD" w:rsidRPr="00730069" w:rsidRDefault="00CC7DAD" w:rsidP="002D5FA9">
            <w:pPr>
              <w:spacing w:before="40" w:after="40" w:line="360" w:lineRule="auto"/>
              <w:jc w:val="center"/>
              <w:rPr>
                <w:b/>
              </w:rPr>
            </w:pPr>
            <w:r w:rsidRPr="00730069">
              <w:rPr>
                <w:b/>
              </w:rPr>
              <w:t>10</w:t>
            </w:r>
          </w:p>
        </w:tc>
      </w:tr>
      <w:tr w:rsidR="00CC7DAD" w:rsidRPr="00D53318" w:rsidDel="00DC6327" w14:paraId="361078EE" w14:textId="77777777" w:rsidTr="002D5FA9">
        <w:trPr>
          <w:trHeight w:val="281"/>
        </w:trPr>
        <w:tc>
          <w:tcPr>
            <w:tcW w:w="538" w:type="dxa"/>
            <w:vMerge/>
            <w:vAlign w:val="center"/>
          </w:tcPr>
          <w:p w14:paraId="44EF19CB" w14:textId="77777777" w:rsidR="00CC7DAD" w:rsidRPr="00D53318" w:rsidRDefault="00CC7DAD" w:rsidP="002D5FA9">
            <w:pPr>
              <w:spacing w:before="40" w:after="40" w:line="360" w:lineRule="auto"/>
              <w:rPr>
                <w:b/>
                <w:bCs/>
              </w:rPr>
            </w:pPr>
          </w:p>
        </w:tc>
        <w:tc>
          <w:tcPr>
            <w:tcW w:w="807" w:type="dxa"/>
            <w:vAlign w:val="center"/>
          </w:tcPr>
          <w:p w14:paraId="23BD53FE"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314C098C"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4D170445"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070B9EB1"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63D394AF"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46FBFA1B"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4BB6B34D"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3B09747A"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4C64E8C"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76C05614"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4BB33BF8"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30FC0227" w14:textId="77777777" w:rsidR="00CC7DAD" w:rsidRDefault="00CC7DAD" w:rsidP="00AE785D">
      <w:pPr>
        <w:pStyle w:val="BodyText-parastyle"/>
        <w:rPr>
          <w:rStyle w:val="Strong"/>
        </w:rPr>
      </w:pPr>
    </w:p>
    <w:tbl>
      <w:tblPr>
        <w:tblpPr w:leftFromText="180" w:rightFromText="180" w:vertAnchor="text" w:horzAnchor="margin" w:tblpX="93" w:tblpY="12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25"/>
        <w:gridCol w:w="807"/>
        <w:gridCol w:w="808"/>
        <w:gridCol w:w="807"/>
        <w:gridCol w:w="808"/>
        <w:gridCol w:w="807"/>
        <w:gridCol w:w="808"/>
        <w:gridCol w:w="807"/>
        <w:gridCol w:w="808"/>
        <w:gridCol w:w="807"/>
        <w:gridCol w:w="808"/>
      </w:tblGrid>
      <w:tr w:rsidR="00CC7DAD" w:rsidRPr="00D53318" w14:paraId="31A39A57" w14:textId="77777777" w:rsidTr="002D5FA9">
        <w:trPr>
          <w:tblHeader/>
        </w:trPr>
        <w:tc>
          <w:tcPr>
            <w:tcW w:w="572" w:type="dxa"/>
            <w:shd w:val="clear" w:color="auto" w:fill="E0E0E0"/>
            <w:vAlign w:val="center"/>
          </w:tcPr>
          <w:p w14:paraId="4EEB54C7"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9000" w:type="dxa"/>
            <w:gridSpan w:val="11"/>
            <w:shd w:val="clear" w:color="auto" w:fill="E0E0E0"/>
            <w:vAlign w:val="center"/>
          </w:tcPr>
          <w:p w14:paraId="3520427E" w14:textId="77777777" w:rsidR="00CC7DAD" w:rsidRDefault="00CC7DAD" w:rsidP="002D5FA9">
            <w:pPr>
              <w:spacing w:before="40" w:after="40" w:line="360" w:lineRule="auto"/>
              <w:jc w:val="both"/>
              <w:rPr>
                <w:b/>
              </w:rPr>
            </w:pPr>
            <w:r>
              <w:rPr>
                <w:b/>
              </w:rPr>
              <w:t xml:space="preserve">Please rate </w:t>
            </w:r>
            <w:r w:rsidRPr="00730069">
              <w:rPr>
                <w:b/>
              </w:rPr>
              <w:t>on a scale of 0 to 10, where 0 is “not at all” and 10 is “completely”</w:t>
            </w:r>
            <w:r>
              <w:rPr>
                <w:b/>
              </w:rPr>
              <w:t xml:space="preserve"> </w:t>
            </w:r>
            <w:r w:rsidRPr="00D77F88">
              <w:rPr>
                <w:b/>
              </w:rPr>
              <w:t>how anxious did you feel yesterday</w:t>
            </w:r>
            <w:r w:rsidRPr="00D53318">
              <w:rPr>
                <w:b/>
              </w:rPr>
              <w:t>?</w:t>
            </w:r>
            <w:r>
              <w:rPr>
                <w:b/>
              </w:rPr>
              <w:t xml:space="preserve"> </w:t>
            </w:r>
            <w:r w:rsidRPr="00D53318">
              <w:rPr>
                <w:i/>
              </w:rPr>
              <w:t xml:space="preserve">Tick one </w:t>
            </w:r>
          </w:p>
        </w:tc>
      </w:tr>
      <w:tr w:rsidR="00CC7DAD" w:rsidRPr="00D53318" w:rsidDel="00DC6327" w14:paraId="1E28CC99" w14:textId="77777777" w:rsidTr="002D5FA9">
        <w:trPr>
          <w:trHeight w:val="329"/>
        </w:trPr>
        <w:tc>
          <w:tcPr>
            <w:tcW w:w="572" w:type="dxa"/>
            <w:vMerge w:val="restart"/>
            <w:vAlign w:val="center"/>
          </w:tcPr>
          <w:p w14:paraId="6C64C8C7" w14:textId="77777777" w:rsidR="00CC7DAD" w:rsidRPr="00D53318" w:rsidRDefault="00CC7DAD" w:rsidP="002D5FA9">
            <w:pPr>
              <w:spacing w:before="40" w:after="40" w:line="360" w:lineRule="auto"/>
              <w:rPr>
                <w:b/>
                <w:bCs/>
              </w:rPr>
            </w:pPr>
          </w:p>
        </w:tc>
        <w:tc>
          <w:tcPr>
            <w:tcW w:w="925" w:type="dxa"/>
            <w:vAlign w:val="center"/>
          </w:tcPr>
          <w:p w14:paraId="71777DF0" w14:textId="77777777" w:rsidR="00CC7DAD" w:rsidRPr="003F5E04" w:rsidRDefault="00CC7DAD" w:rsidP="002D5FA9">
            <w:pPr>
              <w:spacing w:before="40" w:after="40" w:line="360" w:lineRule="auto"/>
              <w:jc w:val="center"/>
              <w:rPr>
                <w:b/>
              </w:rPr>
            </w:pPr>
            <w:r w:rsidRPr="003F5E04">
              <w:rPr>
                <w:b/>
              </w:rPr>
              <w:t>0</w:t>
            </w:r>
          </w:p>
        </w:tc>
        <w:tc>
          <w:tcPr>
            <w:tcW w:w="807" w:type="dxa"/>
            <w:vAlign w:val="center"/>
          </w:tcPr>
          <w:p w14:paraId="102765F0" w14:textId="77777777" w:rsidR="00CC7DAD" w:rsidRPr="003F5E04" w:rsidRDefault="00CC7DAD" w:rsidP="002D5FA9">
            <w:pPr>
              <w:spacing w:before="40" w:after="40" w:line="360" w:lineRule="auto"/>
              <w:jc w:val="center"/>
              <w:rPr>
                <w:b/>
              </w:rPr>
            </w:pPr>
            <w:r w:rsidRPr="003F5E04">
              <w:rPr>
                <w:b/>
              </w:rPr>
              <w:t>1</w:t>
            </w:r>
          </w:p>
        </w:tc>
        <w:tc>
          <w:tcPr>
            <w:tcW w:w="808" w:type="dxa"/>
            <w:vAlign w:val="center"/>
          </w:tcPr>
          <w:p w14:paraId="527E6481" w14:textId="77777777" w:rsidR="00CC7DAD" w:rsidRPr="003F5E04" w:rsidRDefault="00CC7DAD" w:rsidP="002D5FA9">
            <w:pPr>
              <w:spacing w:before="40" w:after="40" w:line="360" w:lineRule="auto"/>
              <w:jc w:val="center"/>
              <w:rPr>
                <w:b/>
              </w:rPr>
            </w:pPr>
            <w:r w:rsidRPr="003F5E04">
              <w:rPr>
                <w:b/>
              </w:rPr>
              <w:t>2</w:t>
            </w:r>
          </w:p>
        </w:tc>
        <w:tc>
          <w:tcPr>
            <w:tcW w:w="807" w:type="dxa"/>
            <w:vAlign w:val="center"/>
          </w:tcPr>
          <w:p w14:paraId="55E28B2B" w14:textId="77777777" w:rsidR="00CC7DAD" w:rsidRPr="003F5E04" w:rsidRDefault="00CC7DAD" w:rsidP="002D5FA9">
            <w:pPr>
              <w:spacing w:before="40" w:after="40" w:line="360" w:lineRule="auto"/>
              <w:jc w:val="center"/>
              <w:rPr>
                <w:b/>
              </w:rPr>
            </w:pPr>
            <w:r w:rsidRPr="003F5E04">
              <w:rPr>
                <w:b/>
              </w:rPr>
              <w:t>3</w:t>
            </w:r>
          </w:p>
        </w:tc>
        <w:tc>
          <w:tcPr>
            <w:tcW w:w="808" w:type="dxa"/>
            <w:vAlign w:val="center"/>
          </w:tcPr>
          <w:p w14:paraId="6F01D672" w14:textId="77777777" w:rsidR="00CC7DAD" w:rsidRPr="003F5E04" w:rsidRDefault="00CC7DAD" w:rsidP="002D5FA9">
            <w:pPr>
              <w:spacing w:before="40" w:after="40" w:line="360" w:lineRule="auto"/>
              <w:jc w:val="center"/>
              <w:rPr>
                <w:b/>
              </w:rPr>
            </w:pPr>
            <w:r w:rsidRPr="003F5E04">
              <w:rPr>
                <w:b/>
              </w:rPr>
              <w:t>4</w:t>
            </w:r>
          </w:p>
        </w:tc>
        <w:tc>
          <w:tcPr>
            <w:tcW w:w="807" w:type="dxa"/>
            <w:vAlign w:val="center"/>
          </w:tcPr>
          <w:p w14:paraId="348CCDD9" w14:textId="77777777" w:rsidR="00CC7DAD" w:rsidRPr="00730069" w:rsidRDefault="00CC7DAD" w:rsidP="002D5FA9">
            <w:pPr>
              <w:spacing w:before="40" w:after="40" w:line="360" w:lineRule="auto"/>
              <w:jc w:val="center"/>
              <w:rPr>
                <w:b/>
              </w:rPr>
            </w:pPr>
            <w:r w:rsidRPr="00730069">
              <w:rPr>
                <w:b/>
              </w:rPr>
              <w:t>5</w:t>
            </w:r>
          </w:p>
        </w:tc>
        <w:tc>
          <w:tcPr>
            <w:tcW w:w="808" w:type="dxa"/>
            <w:vAlign w:val="center"/>
          </w:tcPr>
          <w:p w14:paraId="18C1D02E" w14:textId="77777777" w:rsidR="00CC7DAD" w:rsidRPr="00730069" w:rsidRDefault="00CC7DAD" w:rsidP="002D5FA9">
            <w:pPr>
              <w:spacing w:before="40" w:after="40" w:line="360" w:lineRule="auto"/>
              <w:jc w:val="center"/>
              <w:rPr>
                <w:b/>
              </w:rPr>
            </w:pPr>
            <w:r w:rsidRPr="00730069">
              <w:rPr>
                <w:b/>
              </w:rPr>
              <w:t>6</w:t>
            </w:r>
          </w:p>
        </w:tc>
        <w:tc>
          <w:tcPr>
            <w:tcW w:w="807" w:type="dxa"/>
            <w:vAlign w:val="center"/>
          </w:tcPr>
          <w:p w14:paraId="5E5C4016" w14:textId="77777777" w:rsidR="00CC7DAD" w:rsidRPr="00730069" w:rsidRDefault="00CC7DAD" w:rsidP="002D5FA9">
            <w:pPr>
              <w:spacing w:before="40" w:after="40" w:line="360" w:lineRule="auto"/>
              <w:jc w:val="center"/>
              <w:rPr>
                <w:b/>
              </w:rPr>
            </w:pPr>
            <w:r w:rsidRPr="00730069">
              <w:rPr>
                <w:b/>
              </w:rPr>
              <w:t>7</w:t>
            </w:r>
          </w:p>
        </w:tc>
        <w:tc>
          <w:tcPr>
            <w:tcW w:w="808" w:type="dxa"/>
            <w:vAlign w:val="center"/>
          </w:tcPr>
          <w:p w14:paraId="141381DB" w14:textId="77777777" w:rsidR="00CC7DAD" w:rsidRPr="00730069" w:rsidRDefault="00CC7DAD" w:rsidP="002D5FA9">
            <w:pPr>
              <w:spacing w:before="40" w:after="40" w:line="360" w:lineRule="auto"/>
              <w:jc w:val="center"/>
              <w:rPr>
                <w:b/>
              </w:rPr>
            </w:pPr>
            <w:r w:rsidRPr="00730069">
              <w:rPr>
                <w:b/>
              </w:rPr>
              <w:t>8</w:t>
            </w:r>
          </w:p>
        </w:tc>
        <w:tc>
          <w:tcPr>
            <w:tcW w:w="807" w:type="dxa"/>
            <w:vAlign w:val="center"/>
          </w:tcPr>
          <w:p w14:paraId="4B697DAF" w14:textId="77777777" w:rsidR="00CC7DAD" w:rsidRPr="00730069" w:rsidRDefault="00CC7DAD" w:rsidP="002D5FA9">
            <w:pPr>
              <w:spacing w:before="40" w:after="40" w:line="360" w:lineRule="auto"/>
              <w:jc w:val="center"/>
              <w:rPr>
                <w:b/>
              </w:rPr>
            </w:pPr>
            <w:r w:rsidRPr="00730069">
              <w:rPr>
                <w:b/>
              </w:rPr>
              <w:t>9</w:t>
            </w:r>
          </w:p>
        </w:tc>
        <w:tc>
          <w:tcPr>
            <w:tcW w:w="808" w:type="dxa"/>
            <w:vAlign w:val="center"/>
          </w:tcPr>
          <w:p w14:paraId="29077539" w14:textId="77777777" w:rsidR="00CC7DAD" w:rsidRPr="00730069" w:rsidRDefault="00CC7DAD" w:rsidP="002D5FA9">
            <w:pPr>
              <w:spacing w:before="40" w:after="40" w:line="360" w:lineRule="auto"/>
              <w:jc w:val="center"/>
              <w:rPr>
                <w:b/>
              </w:rPr>
            </w:pPr>
            <w:r w:rsidRPr="00730069">
              <w:rPr>
                <w:b/>
              </w:rPr>
              <w:t>10</w:t>
            </w:r>
          </w:p>
        </w:tc>
      </w:tr>
      <w:tr w:rsidR="00CC7DAD" w:rsidRPr="00D53318" w:rsidDel="00DC6327" w14:paraId="6AAFAF2E" w14:textId="77777777" w:rsidTr="002D5FA9">
        <w:trPr>
          <w:trHeight w:val="281"/>
        </w:trPr>
        <w:tc>
          <w:tcPr>
            <w:tcW w:w="572" w:type="dxa"/>
            <w:vMerge/>
            <w:vAlign w:val="center"/>
          </w:tcPr>
          <w:p w14:paraId="1E3DC899" w14:textId="77777777" w:rsidR="00CC7DAD" w:rsidRPr="00D53318" w:rsidRDefault="00CC7DAD" w:rsidP="002D5FA9">
            <w:pPr>
              <w:spacing w:before="40" w:after="40" w:line="360" w:lineRule="auto"/>
              <w:rPr>
                <w:b/>
                <w:bCs/>
              </w:rPr>
            </w:pPr>
          </w:p>
        </w:tc>
        <w:tc>
          <w:tcPr>
            <w:tcW w:w="925" w:type="dxa"/>
            <w:vAlign w:val="center"/>
          </w:tcPr>
          <w:p w14:paraId="43456634"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586EC3D0"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2C5AE41F"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35EE3FC5"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8" w:type="dxa"/>
            <w:vAlign w:val="center"/>
          </w:tcPr>
          <w:p w14:paraId="10113F7D" w14:textId="77777777" w:rsidR="00CC7DAD" w:rsidRPr="00730069" w:rsidRDefault="00CC7DAD" w:rsidP="002D5FA9">
            <w:pPr>
              <w:spacing w:before="40" w:after="40" w:line="360" w:lineRule="auto"/>
              <w:jc w:val="center"/>
            </w:pPr>
            <w:r w:rsidRPr="00C3253E">
              <w:rPr>
                <w:b/>
              </w:rPr>
              <w:fldChar w:fldCharType="begin">
                <w:ffData>
                  <w:name w:val="Check2"/>
                  <w:enabled/>
                  <w:calcOnExit w:val="0"/>
                  <w:checkBox>
                    <w:sizeAuto/>
                    <w:default w:val="0"/>
                  </w:checkBox>
                </w:ffData>
              </w:fldChar>
            </w:r>
            <w:r w:rsidRPr="00C3253E">
              <w:rPr>
                <w:b/>
              </w:rPr>
              <w:instrText xml:space="preserve"> FORMCHECKBOX </w:instrText>
            </w:r>
            <w:r w:rsidR="00160C04">
              <w:rPr>
                <w:b/>
              </w:rPr>
            </w:r>
            <w:r w:rsidR="00160C04">
              <w:rPr>
                <w:b/>
              </w:rPr>
              <w:fldChar w:fldCharType="separate"/>
            </w:r>
            <w:r w:rsidRPr="00C3253E">
              <w:rPr>
                <w:b/>
              </w:rPr>
              <w:fldChar w:fldCharType="end"/>
            </w:r>
          </w:p>
        </w:tc>
        <w:tc>
          <w:tcPr>
            <w:tcW w:w="807" w:type="dxa"/>
            <w:vAlign w:val="center"/>
          </w:tcPr>
          <w:p w14:paraId="00BD4680"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784656CB"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3D7C8FBA"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6EA299D3"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7" w:type="dxa"/>
            <w:vAlign w:val="center"/>
          </w:tcPr>
          <w:p w14:paraId="6EF429E3" w14:textId="77777777" w:rsidR="00CC7DAD" w:rsidRPr="00730069" w:rsidRDefault="00CC7DAD" w:rsidP="002D5FA9">
            <w:pPr>
              <w:spacing w:before="40" w:after="40" w:line="360" w:lineRule="auto"/>
              <w:jc w:val="center"/>
              <w:rPr>
                <w:b/>
                <w:bCs/>
                <w:lang w:val="en-IE"/>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808" w:type="dxa"/>
            <w:vAlign w:val="center"/>
          </w:tcPr>
          <w:p w14:paraId="27F7DB95"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70E05F8F" w14:textId="77777777" w:rsidR="00CC7DAD" w:rsidRDefault="00CC7DAD" w:rsidP="00AE785D">
      <w:pPr>
        <w:pStyle w:val="BodyText-parastyle"/>
        <w:rPr>
          <w:rStyle w:val="Strong"/>
          <w:b w:val="0"/>
        </w:rPr>
      </w:pPr>
    </w:p>
    <w:p w14:paraId="6ABEE7B5" w14:textId="77777777" w:rsidR="00CC7DAD" w:rsidRDefault="00CC7DAD" w:rsidP="00CC7DAD">
      <w:pPr>
        <w:spacing w:before="0" w:after="0" w:line="240" w:lineRule="auto"/>
        <w:rPr>
          <w:rStyle w:val="Strong"/>
          <w:rFonts w:eastAsia="Times New Roman"/>
          <w:b w:val="0"/>
          <w:color w:val="17365D" w:themeColor="text2" w:themeShade="BF"/>
          <w:szCs w:val="24"/>
          <w:lang w:val="en-GB" w:eastAsia="en-GB"/>
        </w:rPr>
      </w:pPr>
      <w:r>
        <w:rPr>
          <w:rStyle w:val="Strong"/>
          <w:b w:val="0"/>
        </w:rPr>
        <w:br w:type="page"/>
      </w:r>
    </w:p>
    <w:p w14:paraId="38CC0736" w14:textId="77777777" w:rsidR="00CC7DAD" w:rsidRPr="00097707" w:rsidRDefault="00CC7DAD" w:rsidP="00AE785D">
      <w:pPr>
        <w:pStyle w:val="BodyText-parastylebold"/>
        <w:rPr>
          <w:rStyle w:val="Strong"/>
          <w:b/>
        </w:rPr>
      </w:pPr>
      <w:r w:rsidRPr="00097707">
        <w:rPr>
          <w:rStyle w:val="Strong"/>
          <w:b/>
        </w:rPr>
        <w:t>Health and Wellbeing Outcomes</w:t>
      </w:r>
    </w:p>
    <w:p w14:paraId="063D7125" w14:textId="77777777" w:rsidR="00CC7DAD" w:rsidRPr="00CC7DAD" w:rsidRDefault="00CC7DAD" w:rsidP="00AE785D">
      <w:pPr>
        <w:pStyle w:val="BodyText-parastyle"/>
      </w:pPr>
      <w:r w:rsidRPr="00CC7DAD">
        <w:t>Primary Outcomes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CC7DAD" w:rsidRPr="000963D4" w14:paraId="1D07C36B" w14:textId="77777777" w:rsidTr="002D5FA9">
        <w:trPr>
          <w:trHeight w:val="296"/>
          <w:tblHeader/>
        </w:trPr>
        <w:tc>
          <w:tcPr>
            <w:tcW w:w="281" w:type="pct"/>
            <w:shd w:val="clear" w:color="auto" w:fill="E0E0E0"/>
            <w:vAlign w:val="center"/>
          </w:tcPr>
          <w:p w14:paraId="7E2A59B3" w14:textId="77777777" w:rsidR="00CC7DAD" w:rsidRPr="000963D4" w:rsidRDefault="00CC7DAD" w:rsidP="00C1010B">
            <w:pPr>
              <w:widowControl/>
              <w:numPr>
                <w:ilvl w:val="0"/>
                <w:numId w:val="48"/>
              </w:numPr>
              <w:tabs>
                <w:tab w:val="num" w:pos="1364"/>
              </w:tabs>
              <w:spacing w:after="200" w:line="480" w:lineRule="auto"/>
              <w:jc w:val="both"/>
              <w:rPr>
                <w:b/>
              </w:rPr>
            </w:pPr>
          </w:p>
        </w:tc>
        <w:tc>
          <w:tcPr>
            <w:tcW w:w="4719" w:type="pct"/>
            <w:gridSpan w:val="2"/>
            <w:shd w:val="clear" w:color="auto" w:fill="E0E0E0"/>
            <w:vAlign w:val="center"/>
          </w:tcPr>
          <w:p w14:paraId="39C0303F" w14:textId="77777777" w:rsidR="00CC7DAD" w:rsidRPr="000963D4" w:rsidRDefault="00CC7DAD" w:rsidP="002D5FA9">
            <w:pPr>
              <w:spacing w:after="60" w:line="480" w:lineRule="auto"/>
              <w:jc w:val="both"/>
              <w:rPr>
                <w:b/>
                <w:szCs w:val="24"/>
                <w:lang w:val="en-IE"/>
              </w:rPr>
            </w:pPr>
            <w:r w:rsidRPr="002C2DD6">
              <w:rPr>
                <w:b/>
                <w:szCs w:val="24"/>
                <w:lang w:val="en-IE"/>
              </w:rPr>
              <w:t>Primary care</w:t>
            </w:r>
            <w:r w:rsidRPr="00322C09">
              <w:rPr>
                <w:b/>
                <w:szCs w:val="24"/>
                <w:lang w:val="en-IE"/>
              </w:rPr>
              <w:t xml:space="preserve"> </w:t>
            </w:r>
            <w:r>
              <w:rPr>
                <w:b/>
                <w:szCs w:val="24"/>
                <w:lang w:val="en-IE"/>
              </w:rPr>
              <w:t xml:space="preserve">-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CC7DAD" w:rsidRPr="000963D4" w:rsidDel="00DC6327" w14:paraId="14E62D5B" w14:textId="77777777" w:rsidTr="002D5FA9">
        <w:trPr>
          <w:trHeight w:val="454"/>
        </w:trPr>
        <w:tc>
          <w:tcPr>
            <w:tcW w:w="281" w:type="pct"/>
            <w:vMerge w:val="restart"/>
            <w:vAlign w:val="center"/>
          </w:tcPr>
          <w:p w14:paraId="4DE0B43D"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406F763B" w14:textId="77777777" w:rsidR="00CC7DAD" w:rsidRPr="002C2DD6" w:rsidRDefault="00CC7DAD" w:rsidP="002D5FA9">
            <w:pPr>
              <w:pStyle w:val="TableParagraph"/>
              <w:spacing w:line="480" w:lineRule="auto"/>
            </w:pPr>
            <w:r w:rsidRPr="002C2DD6">
              <w:t xml:space="preserve">How many </w:t>
            </w:r>
            <w:r w:rsidRPr="00065371">
              <w:rPr>
                <w:b/>
              </w:rPr>
              <w:t>hours</w:t>
            </w:r>
            <w:r w:rsidRPr="002C2DD6">
              <w:t xml:space="preserve"> have you spent with your GP</w:t>
            </w:r>
          </w:p>
        </w:tc>
        <w:tc>
          <w:tcPr>
            <w:tcW w:w="1764" w:type="pct"/>
            <w:vAlign w:val="center"/>
          </w:tcPr>
          <w:p w14:paraId="0F1788C2" w14:textId="77777777" w:rsidR="00CC7DAD" w:rsidRPr="000963D4" w:rsidDel="00DC6327"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303643F3" w14:textId="77777777" w:rsidTr="002D5FA9">
        <w:trPr>
          <w:trHeight w:val="454"/>
        </w:trPr>
        <w:tc>
          <w:tcPr>
            <w:tcW w:w="281" w:type="pct"/>
            <w:vMerge/>
            <w:vAlign w:val="center"/>
          </w:tcPr>
          <w:p w14:paraId="5D66BC58"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49547654" w14:textId="77777777" w:rsidR="00CC7DAD" w:rsidRPr="002C2DD6" w:rsidRDefault="00CC7DAD" w:rsidP="002D5FA9">
            <w:pPr>
              <w:pStyle w:val="TableParagraph"/>
              <w:spacing w:line="480" w:lineRule="auto"/>
            </w:pPr>
            <w:r w:rsidRPr="002C2DD6">
              <w:t xml:space="preserve">How many </w:t>
            </w:r>
            <w:r w:rsidRPr="00065371">
              <w:rPr>
                <w:b/>
              </w:rPr>
              <w:t>prescriptions</w:t>
            </w:r>
            <w:r w:rsidRPr="002C2DD6">
              <w:t xml:space="preserve"> for medication have you received from your GP</w:t>
            </w:r>
          </w:p>
        </w:tc>
        <w:tc>
          <w:tcPr>
            <w:tcW w:w="1764" w:type="pct"/>
            <w:vAlign w:val="center"/>
          </w:tcPr>
          <w:p w14:paraId="484C3FBE" w14:textId="77777777" w:rsidR="00CC7DAD" w:rsidRPr="000963D4"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0C805C80" w14:textId="77777777" w:rsidTr="002D5FA9">
        <w:trPr>
          <w:trHeight w:val="454"/>
        </w:trPr>
        <w:tc>
          <w:tcPr>
            <w:tcW w:w="281" w:type="pct"/>
            <w:vMerge/>
            <w:vAlign w:val="center"/>
          </w:tcPr>
          <w:p w14:paraId="2CD998A5"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32C1C3D7" w14:textId="77777777" w:rsidR="00CC7DAD" w:rsidRPr="002C2DD6" w:rsidRDefault="00CC7DAD" w:rsidP="002D5FA9">
            <w:pPr>
              <w:pStyle w:val="TableParagraph"/>
              <w:spacing w:line="480" w:lineRule="auto"/>
            </w:pPr>
            <w:r w:rsidRPr="002C2DD6">
              <w:t xml:space="preserve">How many </w:t>
            </w:r>
            <w:r w:rsidRPr="00065371">
              <w:rPr>
                <w:b/>
              </w:rPr>
              <w:t xml:space="preserve">hours </w:t>
            </w:r>
            <w:r w:rsidRPr="002C2DD6">
              <w:t xml:space="preserve">of Counselling services have you received </w:t>
            </w:r>
          </w:p>
        </w:tc>
        <w:tc>
          <w:tcPr>
            <w:tcW w:w="1764" w:type="pct"/>
            <w:vAlign w:val="center"/>
          </w:tcPr>
          <w:p w14:paraId="4E82D709" w14:textId="77777777" w:rsidR="00CC7DAD" w:rsidRPr="000963D4"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5EA2DE67" w14:textId="77777777" w:rsidTr="002D5FA9">
        <w:trPr>
          <w:trHeight w:val="454"/>
        </w:trPr>
        <w:tc>
          <w:tcPr>
            <w:tcW w:w="281" w:type="pct"/>
            <w:vMerge/>
            <w:vAlign w:val="center"/>
          </w:tcPr>
          <w:p w14:paraId="33694104"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67EFF7DD" w14:textId="77777777" w:rsidR="00CC7DAD" w:rsidRPr="002C2DD6" w:rsidRDefault="00CC7DAD" w:rsidP="002D5FA9">
            <w:pPr>
              <w:pStyle w:val="TableParagraph"/>
              <w:spacing w:line="480" w:lineRule="auto"/>
            </w:pPr>
            <w:r w:rsidRPr="002C2DD6">
              <w:t>How many</w:t>
            </w:r>
            <w:r w:rsidRPr="00065371">
              <w:rPr>
                <w:b/>
              </w:rPr>
              <w:t xml:space="preserve"> times</w:t>
            </w:r>
            <w:r w:rsidRPr="002C2DD6">
              <w:t xml:space="preserve"> have you attended Mental </w:t>
            </w:r>
            <w:r>
              <w:t>Health support in the community</w:t>
            </w:r>
          </w:p>
        </w:tc>
        <w:tc>
          <w:tcPr>
            <w:tcW w:w="1764" w:type="pct"/>
            <w:vAlign w:val="center"/>
          </w:tcPr>
          <w:p w14:paraId="7C04C913" w14:textId="77777777" w:rsidR="00CC7DAD" w:rsidRPr="001B6155" w:rsidRDefault="00CC7DAD"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293B030A" w14:textId="77777777" w:rsidR="00CC7DAD" w:rsidRDefault="00CC7DAD" w:rsidP="00AE785D">
      <w:pPr>
        <w:pStyle w:val="BodyText-parastyl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CC7DAD" w:rsidRPr="000963D4" w14:paraId="61582D6B" w14:textId="77777777" w:rsidTr="002D5FA9">
        <w:trPr>
          <w:trHeight w:val="296"/>
          <w:tblHeader/>
        </w:trPr>
        <w:tc>
          <w:tcPr>
            <w:tcW w:w="281" w:type="pct"/>
            <w:shd w:val="clear" w:color="auto" w:fill="E0E0E0"/>
            <w:vAlign w:val="center"/>
          </w:tcPr>
          <w:p w14:paraId="57F06681" w14:textId="77777777" w:rsidR="00CC7DAD" w:rsidRPr="000963D4" w:rsidRDefault="00CC7DAD" w:rsidP="00C1010B">
            <w:pPr>
              <w:widowControl/>
              <w:numPr>
                <w:ilvl w:val="0"/>
                <w:numId w:val="48"/>
              </w:numPr>
              <w:tabs>
                <w:tab w:val="num" w:pos="1364"/>
              </w:tabs>
              <w:spacing w:after="200" w:line="480" w:lineRule="auto"/>
              <w:jc w:val="both"/>
              <w:rPr>
                <w:b/>
              </w:rPr>
            </w:pPr>
          </w:p>
        </w:tc>
        <w:tc>
          <w:tcPr>
            <w:tcW w:w="4719" w:type="pct"/>
            <w:gridSpan w:val="2"/>
            <w:shd w:val="clear" w:color="auto" w:fill="E0E0E0"/>
            <w:vAlign w:val="center"/>
          </w:tcPr>
          <w:p w14:paraId="3C9954D4" w14:textId="77777777" w:rsidR="00CC7DAD" w:rsidRPr="000963D4" w:rsidRDefault="00CC7DAD" w:rsidP="002D5FA9">
            <w:pPr>
              <w:spacing w:after="60" w:line="480" w:lineRule="auto"/>
              <w:jc w:val="both"/>
              <w:rPr>
                <w:b/>
                <w:szCs w:val="24"/>
                <w:lang w:val="en-IE"/>
              </w:rPr>
            </w:pPr>
            <w:r>
              <w:rPr>
                <w:b/>
                <w:szCs w:val="24"/>
                <w:lang w:val="en-IE"/>
              </w:rPr>
              <w:t xml:space="preserve">Hospital / Secondary Care -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CC7DAD" w:rsidRPr="000963D4" w:rsidDel="00DC6327" w14:paraId="06C57F86" w14:textId="77777777" w:rsidTr="002D5FA9">
        <w:trPr>
          <w:trHeight w:val="454"/>
        </w:trPr>
        <w:tc>
          <w:tcPr>
            <w:tcW w:w="281" w:type="pct"/>
            <w:vMerge w:val="restart"/>
            <w:vAlign w:val="center"/>
          </w:tcPr>
          <w:p w14:paraId="0ED34B00"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5AF0EC68" w14:textId="77777777" w:rsidR="00CC7DAD" w:rsidRPr="00B86061" w:rsidRDefault="00CC7DAD" w:rsidP="002D5FA9">
            <w:pPr>
              <w:spacing w:before="0" w:after="0" w:line="480" w:lineRule="auto"/>
              <w:ind w:left="360" w:hanging="360"/>
            </w:pPr>
            <w:r w:rsidRPr="00B86061">
              <w:t xml:space="preserve">How </w:t>
            </w:r>
            <w:r w:rsidRPr="00065371">
              <w:rPr>
                <w:b/>
              </w:rPr>
              <w:t>often</w:t>
            </w:r>
            <w:r w:rsidRPr="00B86061">
              <w:t xml:space="preserve"> have you attended A&amp;E</w:t>
            </w:r>
            <w:r>
              <w:t xml:space="preserve"> </w:t>
            </w:r>
          </w:p>
        </w:tc>
        <w:tc>
          <w:tcPr>
            <w:tcW w:w="1764" w:type="pct"/>
            <w:vAlign w:val="center"/>
          </w:tcPr>
          <w:p w14:paraId="67AA2E77" w14:textId="77777777" w:rsidR="00CC7DAD" w:rsidRPr="000963D4" w:rsidDel="00DC6327"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122F09A7" w14:textId="77777777" w:rsidTr="002D5FA9">
        <w:trPr>
          <w:trHeight w:val="454"/>
        </w:trPr>
        <w:tc>
          <w:tcPr>
            <w:tcW w:w="281" w:type="pct"/>
            <w:vMerge/>
            <w:vAlign w:val="center"/>
          </w:tcPr>
          <w:p w14:paraId="61B9E78F"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33F53569" w14:textId="77777777" w:rsidR="00CC7DAD" w:rsidRPr="00B86061" w:rsidRDefault="00CC7DAD" w:rsidP="002D5FA9">
            <w:pPr>
              <w:spacing w:before="0" w:after="0" w:line="480" w:lineRule="auto"/>
              <w:ind w:left="360" w:hanging="360"/>
            </w:pPr>
            <w:r>
              <w:t xml:space="preserve">How </w:t>
            </w:r>
            <w:r w:rsidRPr="00065371">
              <w:rPr>
                <w:b/>
              </w:rPr>
              <w:t>many</w:t>
            </w:r>
            <w:r>
              <w:t xml:space="preserve"> outpatient appointments have you attended</w:t>
            </w:r>
            <w:r>
              <w:rPr>
                <w:rStyle w:val="FootnoteReference"/>
              </w:rPr>
              <w:footnoteReference w:id="144"/>
            </w:r>
          </w:p>
        </w:tc>
        <w:tc>
          <w:tcPr>
            <w:tcW w:w="1764" w:type="pct"/>
            <w:vAlign w:val="center"/>
          </w:tcPr>
          <w:p w14:paraId="610EDC87" w14:textId="77777777" w:rsidR="00CC7DAD" w:rsidRPr="000963D4"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3DEF77BD" w14:textId="77777777" w:rsidTr="002D5FA9">
        <w:trPr>
          <w:trHeight w:val="485"/>
        </w:trPr>
        <w:tc>
          <w:tcPr>
            <w:tcW w:w="281" w:type="pct"/>
            <w:vMerge/>
            <w:vAlign w:val="center"/>
          </w:tcPr>
          <w:p w14:paraId="319200A5" w14:textId="77777777" w:rsidR="00CC7DAD" w:rsidRPr="000963D4" w:rsidRDefault="00CC7DAD" w:rsidP="002D5FA9">
            <w:pPr>
              <w:spacing w:before="120" w:after="120" w:line="480" w:lineRule="auto"/>
              <w:jc w:val="both"/>
              <w:rPr>
                <w:b/>
                <w:bCs/>
                <w:szCs w:val="24"/>
                <w:lang w:val="en-IE"/>
              </w:rPr>
            </w:pPr>
          </w:p>
        </w:tc>
        <w:tc>
          <w:tcPr>
            <w:tcW w:w="4719" w:type="pct"/>
            <w:gridSpan w:val="2"/>
            <w:vAlign w:val="center"/>
          </w:tcPr>
          <w:p w14:paraId="492F7D87" w14:textId="77777777" w:rsidR="00CC7DAD" w:rsidRPr="000963D4" w:rsidRDefault="00CC7DAD" w:rsidP="002D5FA9">
            <w:pPr>
              <w:spacing w:before="120" w:after="120" w:line="480" w:lineRule="auto"/>
              <w:rPr>
                <w:b/>
                <w:szCs w:val="24"/>
                <w:lang w:val="en-IE"/>
              </w:rPr>
            </w:pPr>
            <w:r>
              <w:t xml:space="preserve">How many </w:t>
            </w:r>
            <w:r w:rsidRPr="00065371">
              <w:rPr>
                <w:b/>
              </w:rPr>
              <w:t>times</w:t>
            </w:r>
            <w:r>
              <w:t xml:space="preserve"> have you been admitted to hospital:</w:t>
            </w:r>
          </w:p>
        </w:tc>
      </w:tr>
      <w:tr w:rsidR="00CC7DAD" w:rsidRPr="000963D4" w14:paraId="4A3B05F3" w14:textId="77777777" w:rsidTr="002D5FA9">
        <w:trPr>
          <w:trHeight w:val="485"/>
        </w:trPr>
        <w:tc>
          <w:tcPr>
            <w:tcW w:w="281" w:type="pct"/>
            <w:vMerge/>
            <w:vAlign w:val="center"/>
          </w:tcPr>
          <w:p w14:paraId="26D16361"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49DE5249" w14:textId="77777777" w:rsidR="00CC7DAD" w:rsidRDefault="00CC7DAD" w:rsidP="002D5FA9">
            <w:pPr>
              <w:spacing w:before="0" w:after="0" w:line="480" w:lineRule="auto"/>
            </w:pPr>
            <w:r>
              <w:t>F</w:t>
            </w:r>
            <w:r w:rsidRPr="002C2DD6">
              <w:t>or a planned procedure</w:t>
            </w:r>
          </w:p>
        </w:tc>
        <w:tc>
          <w:tcPr>
            <w:tcW w:w="1764" w:type="pct"/>
            <w:vAlign w:val="center"/>
          </w:tcPr>
          <w:p w14:paraId="71079062" w14:textId="77777777" w:rsidR="00CC7DAD" w:rsidRPr="001B6155" w:rsidRDefault="00CC7DAD"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r w:rsidR="00CC7DAD" w:rsidRPr="000963D4" w14:paraId="4AFC5456" w14:textId="77777777" w:rsidTr="002D5FA9">
        <w:trPr>
          <w:trHeight w:val="731"/>
        </w:trPr>
        <w:tc>
          <w:tcPr>
            <w:tcW w:w="281" w:type="pct"/>
            <w:vMerge/>
            <w:vAlign w:val="center"/>
          </w:tcPr>
          <w:p w14:paraId="556008FA"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60454685" w14:textId="77777777" w:rsidR="00CC7DAD" w:rsidRDefault="00CC7DAD" w:rsidP="002D5FA9">
            <w:pPr>
              <w:spacing w:before="0" w:after="0" w:line="480" w:lineRule="auto"/>
            </w:pPr>
            <w:r>
              <w:t xml:space="preserve">As </w:t>
            </w:r>
            <w:r w:rsidRPr="002C2DD6">
              <w:t>a</w:t>
            </w:r>
            <w:r>
              <w:t>n</w:t>
            </w:r>
            <w:r w:rsidRPr="002C2DD6">
              <w:t xml:space="preserve"> emergency (i.e. unplanned)</w:t>
            </w:r>
          </w:p>
        </w:tc>
        <w:tc>
          <w:tcPr>
            <w:tcW w:w="1764" w:type="pct"/>
            <w:vAlign w:val="center"/>
          </w:tcPr>
          <w:p w14:paraId="5CAF4524" w14:textId="77777777" w:rsidR="00CC7DAD" w:rsidRPr="001B6155" w:rsidRDefault="00CC7DAD" w:rsidP="002D5FA9">
            <w:pPr>
              <w:spacing w:before="120" w:after="120" w:line="480" w:lineRule="auto"/>
              <w:jc w:val="center"/>
              <w:rPr>
                <w:b/>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4D3C546A" w14:textId="77777777" w:rsidR="00CC7DAD" w:rsidRDefault="00CC7DAD" w:rsidP="00AE785D">
      <w:pPr>
        <w:pStyle w:val="BodyText-parastyl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697"/>
        <w:gridCol w:w="3401"/>
      </w:tblGrid>
      <w:tr w:rsidR="00CC7DAD" w:rsidRPr="000963D4" w14:paraId="5E6ABD53" w14:textId="77777777" w:rsidTr="002D5FA9">
        <w:trPr>
          <w:trHeight w:val="296"/>
          <w:tblHeader/>
        </w:trPr>
        <w:tc>
          <w:tcPr>
            <w:tcW w:w="281" w:type="pct"/>
            <w:shd w:val="clear" w:color="auto" w:fill="E0E0E0"/>
            <w:vAlign w:val="center"/>
          </w:tcPr>
          <w:p w14:paraId="1E7F32F0" w14:textId="77777777" w:rsidR="00CC7DAD" w:rsidRPr="000963D4" w:rsidRDefault="00CC7DAD" w:rsidP="00C1010B">
            <w:pPr>
              <w:widowControl/>
              <w:numPr>
                <w:ilvl w:val="0"/>
                <w:numId w:val="48"/>
              </w:numPr>
              <w:tabs>
                <w:tab w:val="num" w:pos="1364"/>
              </w:tabs>
              <w:spacing w:after="200" w:line="480" w:lineRule="auto"/>
              <w:jc w:val="both"/>
              <w:rPr>
                <w:b/>
              </w:rPr>
            </w:pPr>
          </w:p>
        </w:tc>
        <w:tc>
          <w:tcPr>
            <w:tcW w:w="4719" w:type="pct"/>
            <w:gridSpan w:val="2"/>
            <w:shd w:val="clear" w:color="auto" w:fill="E0E0E0"/>
            <w:vAlign w:val="center"/>
          </w:tcPr>
          <w:p w14:paraId="10D1DF28" w14:textId="77777777" w:rsidR="00CC7DAD" w:rsidRPr="000963D4" w:rsidRDefault="00CC7DAD" w:rsidP="002D5FA9">
            <w:pPr>
              <w:spacing w:after="60" w:line="480" w:lineRule="auto"/>
              <w:jc w:val="both"/>
              <w:rPr>
                <w:b/>
                <w:szCs w:val="24"/>
                <w:lang w:val="en-IE"/>
              </w:rPr>
            </w:pPr>
            <w:r w:rsidRPr="00322C09">
              <w:rPr>
                <w:b/>
                <w:szCs w:val="24"/>
                <w:lang w:val="en-IE"/>
              </w:rPr>
              <w:t>S</w:t>
            </w:r>
            <w:r>
              <w:rPr>
                <w:b/>
                <w:szCs w:val="24"/>
                <w:lang w:val="en-IE"/>
              </w:rPr>
              <w:t>ocial</w:t>
            </w:r>
            <w:r w:rsidRPr="00322C09">
              <w:rPr>
                <w:b/>
                <w:szCs w:val="24"/>
                <w:lang w:val="en-IE"/>
              </w:rPr>
              <w:t xml:space="preserve"> care </w:t>
            </w:r>
            <w:r>
              <w:rPr>
                <w:b/>
                <w:szCs w:val="24"/>
                <w:lang w:val="en-IE"/>
              </w:rPr>
              <w:t xml:space="preserve">- </w:t>
            </w:r>
            <w:r w:rsidRPr="00BC544D">
              <w:rPr>
                <w:b/>
                <w:szCs w:val="24"/>
                <w:lang w:val="en-IE"/>
              </w:rPr>
              <w:t>In the last 3 MONTHS</w:t>
            </w:r>
            <w:r>
              <w:rPr>
                <w:b/>
                <w:szCs w:val="24"/>
                <w:lang w:val="en-IE"/>
              </w:rPr>
              <w:t xml:space="preserve"> </w:t>
            </w:r>
            <w:r w:rsidRPr="003F5E04">
              <w:rPr>
                <w:i/>
                <w:szCs w:val="24"/>
                <w:lang w:val="en-IE"/>
              </w:rPr>
              <w:t>(please insert a figure in the boxes below)</w:t>
            </w:r>
          </w:p>
        </w:tc>
      </w:tr>
      <w:tr w:rsidR="00CC7DAD" w:rsidRPr="000963D4" w:rsidDel="00DC6327" w14:paraId="5543454A" w14:textId="77777777" w:rsidTr="002D5FA9">
        <w:trPr>
          <w:trHeight w:val="452"/>
        </w:trPr>
        <w:tc>
          <w:tcPr>
            <w:tcW w:w="281" w:type="pct"/>
            <w:vAlign w:val="center"/>
          </w:tcPr>
          <w:p w14:paraId="3FEDF10B" w14:textId="77777777" w:rsidR="00CC7DAD" w:rsidRPr="000963D4" w:rsidRDefault="00CC7DAD" w:rsidP="002D5FA9">
            <w:pPr>
              <w:spacing w:before="120" w:after="120" w:line="480" w:lineRule="auto"/>
              <w:jc w:val="both"/>
              <w:rPr>
                <w:b/>
                <w:bCs/>
                <w:szCs w:val="24"/>
                <w:lang w:val="en-IE"/>
              </w:rPr>
            </w:pPr>
          </w:p>
        </w:tc>
        <w:tc>
          <w:tcPr>
            <w:tcW w:w="2955" w:type="pct"/>
            <w:vAlign w:val="center"/>
          </w:tcPr>
          <w:p w14:paraId="26450F4F" w14:textId="77777777" w:rsidR="00CC7DAD" w:rsidRPr="00777D82" w:rsidRDefault="00CC7DAD" w:rsidP="002D5FA9">
            <w:pPr>
              <w:spacing w:line="480" w:lineRule="auto"/>
            </w:pPr>
            <w:r w:rsidRPr="00777D82">
              <w:t xml:space="preserve">How many </w:t>
            </w:r>
            <w:r w:rsidRPr="00065371">
              <w:rPr>
                <w:b/>
              </w:rPr>
              <w:t>hours</w:t>
            </w:r>
            <w:r w:rsidRPr="00777D82">
              <w:t xml:space="preserve"> of support have you received from a social worker</w:t>
            </w:r>
            <w:r>
              <w:t>?</w:t>
            </w:r>
          </w:p>
        </w:tc>
        <w:tc>
          <w:tcPr>
            <w:tcW w:w="1764" w:type="pct"/>
            <w:vAlign w:val="center"/>
          </w:tcPr>
          <w:p w14:paraId="42691B25" w14:textId="77777777" w:rsidR="00CC7DAD" w:rsidRPr="000963D4" w:rsidDel="00DC6327" w:rsidRDefault="00CC7DAD" w:rsidP="002D5FA9">
            <w:pPr>
              <w:spacing w:before="120" w:after="120" w:line="48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10C60279" w14:textId="77777777" w:rsidR="00CC7DAD" w:rsidRPr="00097707" w:rsidRDefault="00CC7DAD" w:rsidP="00AE785D">
      <w:pPr>
        <w:pStyle w:val="BodyText-parastyle"/>
      </w:pPr>
      <w:r w:rsidRPr="00CC7DAD">
        <w:t>Secondary Outcomes</w:t>
      </w:r>
    </w:p>
    <w:p w14:paraId="1759A697" w14:textId="77777777" w:rsidR="00CC7DAD" w:rsidRPr="00092EF5" w:rsidRDefault="00CC7DAD" w:rsidP="00AE785D">
      <w:pPr>
        <w:pStyle w:val="BodyText-parastyle"/>
      </w:pPr>
      <w:r w:rsidRPr="00092EF5">
        <w:t>General Health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006"/>
        <w:gridCol w:w="1955"/>
      </w:tblGrid>
      <w:tr w:rsidR="00CC7DAD" w:rsidRPr="004E34FD" w14:paraId="2A958F6D" w14:textId="77777777" w:rsidTr="002D5FA9">
        <w:trPr>
          <w:trHeight w:val="296"/>
          <w:tblHeader/>
        </w:trPr>
        <w:tc>
          <w:tcPr>
            <w:tcW w:w="283" w:type="pct"/>
            <w:shd w:val="clear" w:color="auto" w:fill="E0E0E0"/>
            <w:vAlign w:val="center"/>
          </w:tcPr>
          <w:p w14:paraId="65589F08" w14:textId="77777777" w:rsidR="00CC7DAD" w:rsidRPr="004E34FD" w:rsidRDefault="00CC7DAD" w:rsidP="00C1010B">
            <w:pPr>
              <w:widowControl/>
              <w:numPr>
                <w:ilvl w:val="0"/>
                <w:numId w:val="48"/>
              </w:numPr>
              <w:tabs>
                <w:tab w:val="num" w:pos="682"/>
              </w:tabs>
              <w:spacing w:before="40" w:after="40" w:line="240" w:lineRule="auto"/>
              <w:jc w:val="both"/>
              <w:rPr>
                <w:b/>
              </w:rPr>
            </w:pPr>
          </w:p>
        </w:tc>
        <w:tc>
          <w:tcPr>
            <w:tcW w:w="4717" w:type="pct"/>
            <w:gridSpan w:val="2"/>
            <w:tcBorders>
              <w:bottom w:val="single" w:sz="4" w:space="0" w:color="auto"/>
            </w:tcBorders>
            <w:shd w:val="clear" w:color="auto" w:fill="E0E0E0"/>
            <w:vAlign w:val="center"/>
          </w:tcPr>
          <w:p w14:paraId="13D9EE3E" w14:textId="77777777" w:rsidR="00CC7DAD" w:rsidRPr="004E34FD" w:rsidRDefault="00CC7DAD" w:rsidP="002D5FA9">
            <w:pPr>
              <w:spacing w:before="40" w:after="40"/>
              <w:jc w:val="both"/>
              <w:rPr>
                <w:b/>
                <w:szCs w:val="24"/>
                <w:lang w:val="en-IE"/>
              </w:rPr>
            </w:pPr>
            <w:r>
              <w:rPr>
                <w:b/>
                <w:szCs w:val="24"/>
                <w:lang w:val="en-IE"/>
              </w:rPr>
              <w:t>Below</w:t>
            </w:r>
            <w:r w:rsidRPr="00B520CF">
              <w:rPr>
                <w:b/>
                <w:szCs w:val="24"/>
                <w:lang w:val="en-IE"/>
              </w:rPr>
              <w:t xml:space="preserve"> are some simple questions about your health in general. By </w:t>
            </w:r>
            <w:r w:rsidRPr="003F5E04">
              <w:rPr>
                <w:b/>
                <w:szCs w:val="24"/>
                <w:u w:val="single"/>
                <w:lang w:val="en-IE"/>
              </w:rPr>
              <w:t xml:space="preserve">ticking one answer in each group </w:t>
            </w:r>
            <w:r w:rsidRPr="00B520CF">
              <w:rPr>
                <w:b/>
                <w:szCs w:val="24"/>
                <w:lang w:val="en-IE"/>
              </w:rPr>
              <w:t>below, please indicate which statements best describe your own health state TODAY</w:t>
            </w:r>
            <w:r>
              <w:rPr>
                <w:rStyle w:val="FootnoteReference"/>
                <w:b/>
                <w:szCs w:val="24"/>
                <w:lang w:val="en-IE"/>
              </w:rPr>
              <w:footnoteReference w:id="145"/>
            </w:r>
            <w:r w:rsidRPr="00B520CF">
              <w:rPr>
                <w:b/>
                <w:szCs w:val="24"/>
                <w:lang w:val="en-IE"/>
              </w:rPr>
              <w:t xml:space="preserve"> </w:t>
            </w:r>
          </w:p>
        </w:tc>
      </w:tr>
      <w:tr w:rsidR="00CC7DAD" w:rsidRPr="004E34FD" w:rsidDel="00DC6327" w14:paraId="7FF7EBBF" w14:textId="77777777" w:rsidTr="002D5FA9">
        <w:tc>
          <w:tcPr>
            <w:tcW w:w="283" w:type="pct"/>
            <w:vMerge w:val="restart"/>
            <w:vAlign w:val="center"/>
          </w:tcPr>
          <w:p w14:paraId="46AC0657"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507C04DB" w14:textId="77777777" w:rsidR="00CC7DAD" w:rsidRPr="000B0E9F" w:rsidRDefault="00CC7DAD" w:rsidP="002D5FA9">
            <w:pPr>
              <w:spacing w:before="0" w:after="0" w:line="240" w:lineRule="auto"/>
              <w:rPr>
                <w:rFonts w:eastAsia="Times New Roman"/>
                <w:b/>
                <w:lang w:val="en-GB" w:eastAsia="en-GB"/>
              </w:rPr>
            </w:pPr>
            <w:r w:rsidRPr="000B0E9F">
              <w:rPr>
                <w:rFonts w:eastAsia="Times New Roman"/>
                <w:b/>
                <w:lang w:val="en-GB" w:eastAsia="en-GB"/>
              </w:rPr>
              <w:t>Mobility</w:t>
            </w:r>
          </w:p>
        </w:tc>
        <w:tc>
          <w:tcPr>
            <w:tcW w:w="1029" w:type="pct"/>
            <w:tcBorders>
              <w:left w:val="single" w:sz="4" w:space="0" w:color="auto"/>
            </w:tcBorders>
            <w:shd w:val="clear" w:color="auto" w:fill="F2F2F2" w:themeFill="background1" w:themeFillShade="F2"/>
            <w:vAlign w:val="center"/>
          </w:tcPr>
          <w:p w14:paraId="40D329D0" w14:textId="77777777" w:rsidR="00CC7DAD" w:rsidRPr="000B0E9F" w:rsidDel="00DC6327" w:rsidRDefault="00CC7DAD" w:rsidP="002D5FA9">
            <w:pPr>
              <w:spacing w:before="120" w:after="120"/>
              <w:jc w:val="center"/>
              <w:rPr>
                <w:b/>
                <w:szCs w:val="24"/>
                <w:lang w:val="en-IE"/>
              </w:rPr>
            </w:pPr>
            <w:r w:rsidRPr="000B0E9F">
              <w:rPr>
                <w:b/>
                <w:szCs w:val="24"/>
                <w:lang w:val="en-IE"/>
              </w:rPr>
              <w:t>Please Tick One</w:t>
            </w:r>
          </w:p>
        </w:tc>
      </w:tr>
      <w:tr w:rsidR="00CC7DAD" w:rsidRPr="004E34FD" w:rsidDel="00DC6327" w14:paraId="78B94294" w14:textId="77777777" w:rsidTr="002D5FA9">
        <w:tc>
          <w:tcPr>
            <w:tcW w:w="283" w:type="pct"/>
            <w:vMerge/>
            <w:vAlign w:val="center"/>
          </w:tcPr>
          <w:p w14:paraId="651C00C3"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7E5614C6" w14:textId="77777777" w:rsidR="00CC7DAD" w:rsidRPr="00097707" w:rsidRDefault="00CC7DAD" w:rsidP="002D5FA9">
            <w:pPr>
              <w:spacing w:before="0" w:after="0" w:line="240" w:lineRule="auto"/>
              <w:rPr>
                <w:rFonts w:eastAsia="Times New Roman"/>
                <w:lang w:val="en-GB" w:eastAsia="en-GB"/>
              </w:rPr>
            </w:pPr>
            <w:r w:rsidRPr="000B0E9F">
              <w:rPr>
                <w:rFonts w:eastAsia="Times New Roman"/>
                <w:lang w:val="en-GB" w:eastAsia="en-GB"/>
              </w:rPr>
              <w:t>I have no problems in walking about</w:t>
            </w:r>
          </w:p>
        </w:tc>
        <w:tc>
          <w:tcPr>
            <w:tcW w:w="1029" w:type="pct"/>
            <w:tcBorders>
              <w:left w:val="single" w:sz="4" w:space="0" w:color="auto"/>
            </w:tcBorders>
          </w:tcPr>
          <w:p w14:paraId="4767EB43" w14:textId="77777777" w:rsidR="00CC7DAD" w:rsidRPr="004E34FD"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2DE4A207" w14:textId="77777777" w:rsidTr="002D5FA9">
        <w:tc>
          <w:tcPr>
            <w:tcW w:w="283" w:type="pct"/>
            <w:vMerge/>
            <w:vAlign w:val="center"/>
          </w:tcPr>
          <w:p w14:paraId="763C0E6A"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7901F303" w14:textId="77777777" w:rsidR="00CC7DAD" w:rsidRPr="00097707" w:rsidRDefault="00CC7DAD" w:rsidP="002D5FA9">
            <w:pPr>
              <w:spacing w:before="0" w:after="0" w:line="240" w:lineRule="auto"/>
              <w:rPr>
                <w:rFonts w:eastAsia="Times New Roman"/>
                <w:lang w:val="en-GB" w:eastAsia="en-GB"/>
              </w:rPr>
            </w:pPr>
            <w:r>
              <w:rPr>
                <w:rFonts w:eastAsia="Times New Roman"/>
                <w:lang w:val="en-GB" w:eastAsia="en-GB"/>
              </w:rPr>
              <w:t>I have some</w:t>
            </w:r>
            <w:r w:rsidRPr="000B0E9F">
              <w:rPr>
                <w:rFonts w:eastAsia="Times New Roman"/>
                <w:lang w:val="en-GB" w:eastAsia="en-GB"/>
              </w:rPr>
              <w:t xml:space="preserve"> problems in walking about</w:t>
            </w:r>
          </w:p>
        </w:tc>
        <w:tc>
          <w:tcPr>
            <w:tcW w:w="1029" w:type="pct"/>
            <w:tcBorders>
              <w:left w:val="single" w:sz="4" w:space="0" w:color="auto"/>
            </w:tcBorders>
          </w:tcPr>
          <w:p w14:paraId="5AD4B9B1" w14:textId="77777777" w:rsidR="00CC7DAD" w:rsidRPr="004E34FD"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1A84408F" w14:textId="77777777" w:rsidTr="002D5FA9">
        <w:tc>
          <w:tcPr>
            <w:tcW w:w="283" w:type="pct"/>
            <w:vMerge/>
            <w:vAlign w:val="center"/>
          </w:tcPr>
          <w:p w14:paraId="3728C182"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31945F56" w14:textId="77777777" w:rsidR="00CC7DAD" w:rsidRPr="00097707" w:rsidRDefault="00CC7DAD" w:rsidP="002D5FA9">
            <w:pPr>
              <w:spacing w:before="0" w:after="0" w:line="240" w:lineRule="auto"/>
              <w:rPr>
                <w:rFonts w:eastAsia="Times New Roman"/>
                <w:lang w:val="en-GB" w:eastAsia="en-GB"/>
              </w:rPr>
            </w:pPr>
            <w:r>
              <w:rPr>
                <w:rFonts w:eastAsia="Times New Roman"/>
                <w:lang w:val="en-GB" w:eastAsia="en-GB"/>
              </w:rPr>
              <w:t>I am confined to a bed</w:t>
            </w:r>
          </w:p>
        </w:tc>
        <w:tc>
          <w:tcPr>
            <w:tcW w:w="1029" w:type="pct"/>
            <w:tcBorders>
              <w:left w:val="single" w:sz="4" w:space="0" w:color="auto"/>
            </w:tcBorders>
            <w:vAlign w:val="center"/>
          </w:tcPr>
          <w:p w14:paraId="241A282E" w14:textId="77777777" w:rsidR="00CC7DAD" w:rsidRPr="004E34FD" w:rsidDel="00DC6327"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3C91554B" w14:textId="77777777" w:rsidTr="002D5FA9">
        <w:tc>
          <w:tcPr>
            <w:tcW w:w="283" w:type="pct"/>
            <w:vMerge/>
            <w:vAlign w:val="center"/>
          </w:tcPr>
          <w:p w14:paraId="5EAD6B3D"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3DF7F354" w14:textId="77777777" w:rsidR="00CC7DAD" w:rsidRPr="00097707" w:rsidRDefault="00CC7DAD" w:rsidP="002D5FA9">
            <w:pPr>
              <w:spacing w:before="0" w:after="0" w:line="240" w:lineRule="auto"/>
              <w:rPr>
                <w:rFonts w:eastAsia="Times New Roman"/>
                <w:lang w:val="en-GB" w:eastAsia="en-GB"/>
              </w:rPr>
            </w:pPr>
            <w:r>
              <w:rPr>
                <w:rFonts w:eastAsia="Times New Roman"/>
                <w:b/>
                <w:lang w:val="en-GB" w:eastAsia="en-GB"/>
              </w:rPr>
              <w:t>Self-Care</w:t>
            </w:r>
          </w:p>
        </w:tc>
        <w:tc>
          <w:tcPr>
            <w:tcW w:w="1029" w:type="pct"/>
            <w:tcBorders>
              <w:left w:val="single" w:sz="4" w:space="0" w:color="auto"/>
            </w:tcBorders>
            <w:shd w:val="clear" w:color="auto" w:fill="F2F2F2" w:themeFill="background1" w:themeFillShade="F2"/>
            <w:vAlign w:val="center"/>
          </w:tcPr>
          <w:p w14:paraId="6C3EB421" w14:textId="77777777" w:rsidR="00CC7DAD" w:rsidRPr="004E34FD" w:rsidRDefault="00CC7DAD" w:rsidP="002D5FA9">
            <w:pPr>
              <w:spacing w:before="120" w:after="120"/>
              <w:jc w:val="center"/>
              <w:rPr>
                <w:b/>
                <w:szCs w:val="24"/>
                <w:lang w:val="en-IE"/>
              </w:rPr>
            </w:pPr>
            <w:r w:rsidRPr="000B0E9F">
              <w:rPr>
                <w:b/>
                <w:szCs w:val="24"/>
                <w:lang w:val="en-IE"/>
              </w:rPr>
              <w:t>Please Tick One</w:t>
            </w:r>
          </w:p>
        </w:tc>
      </w:tr>
      <w:tr w:rsidR="00CC7DAD" w:rsidRPr="004E34FD" w14:paraId="370B9B7A" w14:textId="77777777" w:rsidTr="002D5FA9">
        <w:tc>
          <w:tcPr>
            <w:tcW w:w="283" w:type="pct"/>
            <w:vMerge/>
            <w:vAlign w:val="center"/>
          </w:tcPr>
          <w:p w14:paraId="2E81E91A"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48D84F87" w14:textId="77777777" w:rsidR="00CC7DAD" w:rsidRPr="00097707" w:rsidRDefault="00CC7DAD" w:rsidP="002D5FA9">
            <w:pPr>
              <w:spacing w:before="0" w:after="0" w:line="240" w:lineRule="auto"/>
              <w:rPr>
                <w:rFonts w:eastAsia="Times New Roman"/>
                <w:lang w:val="en-GB" w:eastAsia="en-GB"/>
              </w:rPr>
            </w:pPr>
            <w:r>
              <w:rPr>
                <w:rFonts w:eastAsia="Times New Roman"/>
                <w:lang w:val="en-GB" w:eastAsia="en-GB"/>
              </w:rPr>
              <w:t>I have no problems with self-care</w:t>
            </w:r>
          </w:p>
        </w:tc>
        <w:tc>
          <w:tcPr>
            <w:tcW w:w="1029" w:type="pct"/>
            <w:tcBorders>
              <w:left w:val="single" w:sz="4" w:space="0" w:color="auto"/>
            </w:tcBorders>
          </w:tcPr>
          <w:p w14:paraId="2D6FDA04" w14:textId="77777777" w:rsidR="00CC7DAD" w:rsidRPr="004E34FD"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32E93898" w14:textId="77777777" w:rsidTr="002D5FA9">
        <w:tc>
          <w:tcPr>
            <w:tcW w:w="283" w:type="pct"/>
            <w:vMerge/>
            <w:vAlign w:val="center"/>
          </w:tcPr>
          <w:p w14:paraId="535870DC"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02EE8416" w14:textId="77777777" w:rsidR="00CC7DAD" w:rsidRPr="00097707" w:rsidRDefault="00CC7DAD" w:rsidP="002D5FA9">
            <w:pPr>
              <w:spacing w:before="0" w:after="0" w:line="240" w:lineRule="auto"/>
              <w:rPr>
                <w:rFonts w:eastAsia="Times New Roman"/>
                <w:lang w:val="en-GB" w:eastAsia="en-GB"/>
              </w:rPr>
            </w:pPr>
            <w:r>
              <w:rPr>
                <w:rFonts w:eastAsia="Times New Roman"/>
                <w:lang w:val="en-GB" w:eastAsia="en-GB"/>
              </w:rPr>
              <w:t>I have some problems washing or dressing myself</w:t>
            </w:r>
          </w:p>
        </w:tc>
        <w:tc>
          <w:tcPr>
            <w:tcW w:w="1029" w:type="pct"/>
            <w:tcBorders>
              <w:left w:val="single" w:sz="4" w:space="0" w:color="auto"/>
            </w:tcBorders>
          </w:tcPr>
          <w:p w14:paraId="134E0381" w14:textId="77777777" w:rsidR="00CC7DAD" w:rsidRPr="004E34FD"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68E29753" w14:textId="77777777" w:rsidTr="002D5FA9">
        <w:tc>
          <w:tcPr>
            <w:tcW w:w="283" w:type="pct"/>
            <w:vMerge/>
            <w:vAlign w:val="center"/>
          </w:tcPr>
          <w:p w14:paraId="382CE9B3"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2E0E40A2" w14:textId="77777777" w:rsidR="00CC7DAD" w:rsidRPr="00097707" w:rsidRDefault="00CC7DAD" w:rsidP="002D5FA9">
            <w:pPr>
              <w:spacing w:before="0" w:after="0" w:line="240" w:lineRule="auto"/>
              <w:rPr>
                <w:rFonts w:eastAsia="Times New Roman"/>
                <w:lang w:val="en-GB" w:eastAsia="en-GB"/>
              </w:rPr>
            </w:pPr>
            <w:r>
              <w:rPr>
                <w:rFonts w:eastAsia="Times New Roman"/>
                <w:lang w:val="en-GB" w:eastAsia="en-GB"/>
              </w:rPr>
              <w:t>I am unable to wash or dress myself</w:t>
            </w:r>
          </w:p>
        </w:tc>
        <w:tc>
          <w:tcPr>
            <w:tcW w:w="1029" w:type="pct"/>
            <w:tcBorders>
              <w:left w:val="single" w:sz="4" w:space="0" w:color="auto"/>
            </w:tcBorders>
            <w:vAlign w:val="center"/>
          </w:tcPr>
          <w:p w14:paraId="73D26110" w14:textId="77777777" w:rsidR="00CC7DAD" w:rsidRPr="004E34FD" w:rsidRDefault="00CC7DAD" w:rsidP="002D5FA9">
            <w:pPr>
              <w:spacing w:before="120" w:after="120"/>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2CBB139B" w14:textId="77777777" w:rsidTr="002D5FA9">
        <w:tc>
          <w:tcPr>
            <w:tcW w:w="283" w:type="pct"/>
            <w:vMerge/>
            <w:vAlign w:val="center"/>
          </w:tcPr>
          <w:p w14:paraId="57D43660"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0336D7F2" w14:textId="77777777" w:rsidR="00CC7DAD" w:rsidRDefault="00CC7DAD" w:rsidP="002D5FA9">
            <w:pPr>
              <w:spacing w:before="0" w:after="0" w:line="240" w:lineRule="auto"/>
              <w:rPr>
                <w:rFonts w:eastAsia="Times New Roman"/>
                <w:lang w:val="en-GB" w:eastAsia="en-GB"/>
              </w:rPr>
            </w:pPr>
            <w:r>
              <w:rPr>
                <w:rFonts w:eastAsia="Times New Roman"/>
                <w:b/>
                <w:lang w:val="en-GB" w:eastAsia="en-GB"/>
              </w:rPr>
              <w:t xml:space="preserve">Usual Activities </w:t>
            </w:r>
          </w:p>
        </w:tc>
        <w:tc>
          <w:tcPr>
            <w:tcW w:w="1029" w:type="pct"/>
            <w:tcBorders>
              <w:left w:val="single" w:sz="4" w:space="0" w:color="auto"/>
            </w:tcBorders>
            <w:shd w:val="clear" w:color="auto" w:fill="F2F2F2" w:themeFill="background1" w:themeFillShade="F2"/>
            <w:vAlign w:val="center"/>
          </w:tcPr>
          <w:p w14:paraId="6A0714EF" w14:textId="77777777" w:rsidR="00CC7DAD" w:rsidRPr="004E34FD" w:rsidRDefault="00CC7DAD" w:rsidP="002D5FA9">
            <w:pPr>
              <w:spacing w:before="120" w:after="120"/>
              <w:jc w:val="center"/>
              <w:rPr>
                <w:b/>
                <w:szCs w:val="24"/>
                <w:lang w:val="en-IE"/>
              </w:rPr>
            </w:pPr>
            <w:r w:rsidRPr="000B0E9F">
              <w:rPr>
                <w:b/>
                <w:szCs w:val="24"/>
                <w:lang w:val="en-IE"/>
              </w:rPr>
              <w:t>Please Tick One</w:t>
            </w:r>
          </w:p>
        </w:tc>
      </w:tr>
      <w:tr w:rsidR="00CC7DAD" w:rsidRPr="004E34FD" w14:paraId="2D7A7CA7" w14:textId="77777777" w:rsidTr="002D5FA9">
        <w:tc>
          <w:tcPr>
            <w:tcW w:w="283" w:type="pct"/>
            <w:vMerge/>
            <w:vAlign w:val="center"/>
          </w:tcPr>
          <w:p w14:paraId="1FEBF8AD"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3AAFD6BF" w14:textId="77777777" w:rsidR="00CC7DAD" w:rsidRDefault="00CC7DAD" w:rsidP="002D5FA9">
            <w:pPr>
              <w:spacing w:before="0" w:after="0" w:line="240" w:lineRule="auto"/>
              <w:rPr>
                <w:rFonts w:eastAsia="Times New Roman"/>
                <w:lang w:val="en-GB" w:eastAsia="en-GB"/>
              </w:rPr>
            </w:pPr>
            <w:r w:rsidRPr="00843717">
              <w:rPr>
                <w:rFonts w:eastAsia="Times New Roman"/>
                <w:lang w:val="en-GB" w:eastAsia="en-GB"/>
              </w:rPr>
              <w:t xml:space="preserve">I have no problems </w:t>
            </w:r>
            <w:r>
              <w:rPr>
                <w:rFonts w:eastAsia="Times New Roman"/>
                <w:lang w:val="en-GB" w:eastAsia="en-GB"/>
              </w:rPr>
              <w:t>with performing</w:t>
            </w:r>
            <w:r w:rsidRPr="00843717">
              <w:rPr>
                <w:rFonts w:eastAsia="Times New Roman"/>
                <w:lang w:val="en-GB" w:eastAsia="en-GB"/>
              </w:rPr>
              <w:t xml:space="preserve"> my usual activities</w:t>
            </w:r>
            <w:r>
              <w:rPr>
                <w:rFonts w:eastAsia="Times New Roman"/>
                <w:lang w:val="en-GB" w:eastAsia="en-GB"/>
              </w:rPr>
              <w:t xml:space="preserve"> (e.g. work, study, housework, family or leisure activities)</w:t>
            </w:r>
          </w:p>
        </w:tc>
        <w:tc>
          <w:tcPr>
            <w:tcW w:w="1029" w:type="pct"/>
            <w:tcBorders>
              <w:left w:val="single" w:sz="4" w:space="0" w:color="auto"/>
            </w:tcBorders>
          </w:tcPr>
          <w:p w14:paraId="06CE2552" w14:textId="77777777" w:rsidR="00CC7DAD" w:rsidRPr="004E34FD" w:rsidRDefault="00CC7DAD"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CC7DAD" w:rsidRPr="004E34FD" w14:paraId="46C7370F" w14:textId="77777777" w:rsidTr="002D5FA9">
        <w:tc>
          <w:tcPr>
            <w:tcW w:w="283" w:type="pct"/>
            <w:vMerge/>
            <w:vAlign w:val="center"/>
          </w:tcPr>
          <w:p w14:paraId="4F0CDF8B"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3BE8BF46" w14:textId="77777777" w:rsidR="00CC7DAD" w:rsidRDefault="00CC7DAD" w:rsidP="002D5FA9">
            <w:pPr>
              <w:spacing w:before="0" w:after="0" w:line="240" w:lineRule="auto"/>
              <w:rPr>
                <w:rFonts w:eastAsia="Times New Roman"/>
                <w:lang w:val="en-GB" w:eastAsia="en-GB"/>
              </w:rPr>
            </w:pPr>
            <w:r w:rsidRPr="00843717">
              <w:rPr>
                <w:rFonts w:eastAsia="Times New Roman"/>
                <w:lang w:val="en-GB" w:eastAsia="en-GB"/>
              </w:rPr>
              <w:t xml:space="preserve">I </w:t>
            </w:r>
            <w:r>
              <w:rPr>
                <w:rFonts w:eastAsia="Times New Roman"/>
                <w:lang w:val="en-GB" w:eastAsia="en-GB"/>
              </w:rPr>
              <w:t>some</w:t>
            </w:r>
            <w:r w:rsidRPr="00843717">
              <w:rPr>
                <w:rFonts w:eastAsia="Times New Roman"/>
                <w:lang w:val="en-GB" w:eastAsia="en-GB"/>
              </w:rPr>
              <w:t xml:space="preserve"> problems </w:t>
            </w:r>
            <w:r>
              <w:rPr>
                <w:rFonts w:eastAsia="Times New Roman"/>
                <w:lang w:val="en-GB" w:eastAsia="en-GB"/>
              </w:rPr>
              <w:t>with performing</w:t>
            </w:r>
            <w:r w:rsidRPr="00843717">
              <w:rPr>
                <w:rFonts w:eastAsia="Times New Roman"/>
                <w:lang w:val="en-GB" w:eastAsia="en-GB"/>
              </w:rPr>
              <w:t xml:space="preserve"> my usual activities</w:t>
            </w:r>
          </w:p>
        </w:tc>
        <w:tc>
          <w:tcPr>
            <w:tcW w:w="1029" w:type="pct"/>
            <w:tcBorders>
              <w:left w:val="single" w:sz="4" w:space="0" w:color="auto"/>
            </w:tcBorders>
          </w:tcPr>
          <w:p w14:paraId="6AFEA9DB" w14:textId="77777777" w:rsidR="00CC7DAD" w:rsidRPr="004E34FD" w:rsidRDefault="00CC7DAD"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CC7DAD" w:rsidRPr="004E34FD" w14:paraId="2FB02694" w14:textId="77777777" w:rsidTr="002D5FA9">
        <w:tc>
          <w:tcPr>
            <w:tcW w:w="283" w:type="pct"/>
            <w:vMerge/>
            <w:vAlign w:val="center"/>
          </w:tcPr>
          <w:p w14:paraId="63982811"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5F460A69" w14:textId="77777777" w:rsidR="00CC7DAD" w:rsidRDefault="00CC7DAD" w:rsidP="002D5FA9">
            <w:pPr>
              <w:spacing w:before="0" w:after="0" w:line="240" w:lineRule="auto"/>
              <w:rPr>
                <w:rFonts w:eastAsia="Times New Roman"/>
                <w:lang w:val="en-GB" w:eastAsia="en-GB"/>
              </w:rPr>
            </w:pPr>
            <w:r w:rsidRPr="00843717">
              <w:rPr>
                <w:rFonts w:eastAsia="Times New Roman"/>
                <w:lang w:val="en-GB" w:eastAsia="en-GB"/>
              </w:rPr>
              <w:t xml:space="preserve">I </w:t>
            </w:r>
            <w:r>
              <w:rPr>
                <w:rFonts w:eastAsia="Times New Roman"/>
                <w:lang w:val="en-GB" w:eastAsia="en-GB"/>
              </w:rPr>
              <w:t>am unable to perform</w:t>
            </w:r>
            <w:r w:rsidRPr="00843717">
              <w:rPr>
                <w:rFonts w:eastAsia="Times New Roman"/>
                <w:lang w:val="en-GB" w:eastAsia="en-GB"/>
              </w:rPr>
              <w:t xml:space="preserve"> my usual activities</w:t>
            </w:r>
          </w:p>
        </w:tc>
        <w:tc>
          <w:tcPr>
            <w:tcW w:w="1029" w:type="pct"/>
            <w:tcBorders>
              <w:left w:val="single" w:sz="4" w:space="0" w:color="auto"/>
            </w:tcBorders>
          </w:tcPr>
          <w:p w14:paraId="1D0A501D" w14:textId="77777777" w:rsidR="00CC7DAD" w:rsidRPr="004E34FD" w:rsidRDefault="00CC7DAD" w:rsidP="002D5FA9">
            <w:pPr>
              <w:spacing w:before="120" w:after="120"/>
              <w:jc w:val="center"/>
              <w:rPr>
                <w:b/>
                <w:szCs w:val="24"/>
                <w:lang w:val="en-IE"/>
              </w:rPr>
            </w:pPr>
            <w:r w:rsidRPr="005F27ED">
              <w:rPr>
                <w:b/>
                <w:szCs w:val="24"/>
                <w:lang w:val="en-IE"/>
              </w:rPr>
              <w:fldChar w:fldCharType="begin">
                <w:ffData>
                  <w:name w:val="Check1"/>
                  <w:enabled/>
                  <w:calcOnExit w:val="0"/>
                  <w:checkBox>
                    <w:sizeAuto/>
                    <w:default w:val="0"/>
                  </w:checkBox>
                </w:ffData>
              </w:fldChar>
            </w:r>
            <w:r w:rsidRPr="005F27ED">
              <w:rPr>
                <w:b/>
                <w:szCs w:val="24"/>
                <w:lang w:val="en-IE"/>
              </w:rPr>
              <w:instrText xml:space="preserve"> FORMCHECKBOX </w:instrText>
            </w:r>
            <w:r w:rsidR="00160C04">
              <w:rPr>
                <w:b/>
                <w:szCs w:val="24"/>
                <w:lang w:val="en-IE"/>
              </w:rPr>
            </w:r>
            <w:r w:rsidR="00160C04">
              <w:rPr>
                <w:b/>
                <w:szCs w:val="24"/>
                <w:lang w:val="en-IE"/>
              </w:rPr>
              <w:fldChar w:fldCharType="separate"/>
            </w:r>
            <w:r w:rsidRPr="005F27ED">
              <w:rPr>
                <w:b/>
                <w:szCs w:val="24"/>
                <w:lang w:val="en-IE"/>
              </w:rPr>
              <w:fldChar w:fldCharType="end"/>
            </w:r>
          </w:p>
        </w:tc>
      </w:tr>
      <w:tr w:rsidR="00CC7DAD" w:rsidRPr="004E34FD" w14:paraId="5AD70140" w14:textId="77777777" w:rsidTr="002D5FA9">
        <w:tc>
          <w:tcPr>
            <w:tcW w:w="283" w:type="pct"/>
            <w:vMerge/>
            <w:vAlign w:val="center"/>
          </w:tcPr>
          <w:p w14:paraId="13C4BE88"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7DCE14CF" w14:textId="77777777" w:rsidR="00CC7DAD" w:rsidRDefault="00CC7DAD" w:rsidP="002D5FA9">
            <w:pPr>
              <w:spacing w:before="0" w:after="0" w:line="240" w:lineRule="auto"/>
              <w:rPr>
                <w:rFonts w:eastAsia="Times New Roman"/>
                <w:lang w:val="en-GB" w:eastAsia="en-GB"/>
              </w:rPr>
            </w:pPr>
            <w:r w:rsidRPr="00843717">
              <w:rPr>
                <w:b/>
                <w:szCs w:val="24"/>
                <w:lang w:val="en-IE"/>
              </w:rPr>
              <w:t>Pain / Discomfort</w:t>
            </w:r>
          </w:p>
        </w:tc>
        <w:tc>
          <w:tcPr>
            <w:tcW w:w="1029" w:type="pct"/>
            <w:tcBorders>
              <w:left w:val="single" w:sz="4" w:space="0" w:color="auto"/>
            </w:tcBorders>
            <w:shd w:val="clear" w:color="auto" w:fill="F2F2F2" w:themeFill="background1" w:themeFillShade="F2"/>
          </w:tcPr>
          <w:p w14:paraId="66014C3F" w14:textId="77777777" w:rsidR="00CC7DAD" w:rsidRPr="004E34FD" w:rsidRDefault="00CC7DAD" w:rsidP="002D5FA9">
            <w:pPr>
              <w:spacing w:before="120" w:after="120"/>
              <w:jc w:val="center"/>
              <w:rPr>
                <w:b/>
                <w:szCs w:val="24"/>
                <w:lang w:val="en-IE"/>
              </w:rPr>
            </w:pPr>
            <w:r w:rsidRPr="000B0E9F">
              <w:rPr>
                <w:b/>
                <w:szCs w:val="24"/>
                <w:lang w:val="en-IE"/>
              </w:rPr>
              <w:t>Please Tick One</w:t>
            </w:r>
          </w:p>
        </w:tc>
      </w:tr>
      <w:tr w:rsidR="00CC7DAD" w:rsidRPr="004E34FD" w14:paraId="0F45532D" w14:textId="77777777" w:rsidTr="002D5FA9">
        <w:tc>
          <w:tcPr>
            <w:tcW w:w="283" w:type="pct"/>
            <w:vMerge/>
            <w:vAlign w:val="center"/>
          </w:tcPr>
          <w:p w14:paraId="0557D177"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150B7436" w14:textId="77777777" w:rsidR="00CC7DAD" w:rsidRDefault="00CC7DAD" w:rsidP="002D5FA9">
            <w:pPr>
              <w:spacing w:before="0" w:after="0" w:line="240" w:lineRule="auto"/>
              <w:rPr>
                <w:rFonts w:eastAsia="Times New Roman"/>
                <w:lang w:val="en-GB" w:eastAsia="en-GB"/>
              </w:rPr>
            </w:pPr>
            <w:r>
              <w:rPr>
                <w:rFonts w:eastAsia="Times New Roman"/>
                <w:lang w:val="en-GB" w:eastAsia="en-GB"/>
              </w:rPr>
              <w:t xml:space="preserve">I have no pain or discomfort </w:t>
            </w:r>
          </w:p>
        </w:tc>
        <w:tc>
          <w:tcPr>
            <w:tcW w:w="1029" w:type="pct"/>
            <w:tcBorders>
              <w:left w:val="single" w:sz="4" w:space="0" w:color="auto"/>
            </w:tcBorders>
          </w:tcPr>
          <w:p w14:paraId="7375F502" w14:textId="77777777" w:rsidR="00CC7DAD" w:rsidRPr="004E34FD" w:rsidRDefault="00CC7DAD"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CC7DAD" w:rsidRPr="004E34FD" w14:paraId="524AE41C" w14:textId="77777777" w:rsidTr="002D5FA9">
        <w:tc>
          <w:tcPr>
            <w:tcW w:w="283" w:type="pct"/>
            <w:vMerge/>
            <w:vAlign w:val="center"/>
          </w:tcPr>
          <w:p w14:paraId="7194AC27"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6F9D46F5" w14:textId="77777777" w:rsidR="00CC7DAD" w:rsidRDefault="00CC7DAD" w:rsidP="002D5FA9">
            <w:pPr>
              <w:spacing w:before="0" w:after="0" w:line="240" w:lineRule="auto"/>
              <w:rPr>
                <w:rFonts w:eastAsia="Times New Roman"/>
                <w:lang w:val="en-GB" w:eastAsia="en-GB"/>
              </w:rPr>
            </w:pPr>
            <w:r>
              <w:rPr>
                <w:rFonts w:eastAsia="Times New Roman"/>
                <w:lang w:val="en-GB" w:eastAsia="en-GB"/>
              </w:rPr>
              <w:t xml:space="preserve">I have moderate pain or discomfort </w:t>
            </w:r>
          </w:p>
        </w:tc>
        <w:tc>
          <w:tcPr>
            <w:tcW w:w="1029" w:type="pct"/>
            <w:tcBorders>
              <w:left w:val="single" w:sz="4" w:space="0" w:color="auto"/>
            </w:tcBorders>
          </w:tcPr>
          <w:p w14:paraId="7FB80954" w14:textId="77777777" w:rsidR="00CC7DAD" w:rsidRPr="004E34FD" w:rsidRDefault="00CC7DAD"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CC7DAD" w:rsidRPr="004E34FD" w14:paraId="6A834185" w14:textId="77777777" w:rsidTr="002D5FA9">
        <w:tc>
          <w:tcPr>
            <w:tcW w:w="283" w:type="pct"/>
            <w:vMerge/>
            <w:vAlign w:val="center"/>
          </w:tcPr>
          <w:p w14:paraId="1E1DE51C"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7BEB1BF7" w14:textId="77777777" w:rsidR="00CC7DAD" w:rsidRDefault="00CC7DAD" w:rsidP="002D5FA9">
            <w:pPr>
              <w:spacing w:before="0" w:after="0" w:line="240" w:lineRule="auto"/>
              <w:rPr>
                <w:rFonts w:eastAsia="Times New Roman"/>
                <w:lang w:val="en-GB" w:eastAsia="en-GB"/>
              </w:rPr>
            </w:pPr>
            <w:r>
              <w:rPr>
                <w:rFonts w:eastAsia="Times New Roman"/>
                <w:lang w:val="en-GB" w:eastAsia="en-GB"/>
              </w:rPr>
              <w:t xml:space="preserve">I have extreme pain or discomfort </w:t>
            </w:r>
          </w:p>
        </w:tc>
        <w:tc>
          <w:tcPr>
            <w:tcW w:w="1029" w:type="pct"/>
            <w:tcBorders>
              <w:left w:val="single" w:sz="4" w:space="0" w:color="auto"/>
            </w:tcBorders>
          </w:tcPr>
          <w:p w14:paraId="059CC6CC" w14:textId="77777777" w:rsidR="00CC7DAD" w:rsidRPr="004E34FD" w:rsidRDefault="00CC7DAD" w:rsidP="002D5FA9">
            <w:pPr>
              <w:spacing w:before="120" w:after="120"/>
              <w:jc w:val="center"/>
              <w:rPr>
                <w:b/>
                <w:szCs w:val="24"/>
                <w:lang w:val="en-IE"/>
              </w:rPr>
            </w:pPr>
            <w:r w:rsidRPr="002E1E83">
              <w:rPr>
                <w:b/>
                <w:szCs w:val="24"/>
                <w:lang w:val="en-IE"/>
              </w:rPr>
              <w:fldChar w:fldCharType="begin">
                <w:ffData>
                  <w:name w:val="Check1"/>
                  <w:enabled/>
                  <w:calcOnExit w:val="0"/>
                  <w:checkBox>
                    <w:sizeAuto/>
                    <w:default w:val="0"/>
                  </w:checkBox>
                </w:ffData>
              </w:fldChar>
            </w:r>
            <w:r w:rsidRPr="002E1E83">
              <w:rPr>
                <w:b/>
                <w:szCs w:val="24"/>
                <w:lang w:val="en-IE"/>
              </w:rPr>
              <w:instrText xml:space="preserve"> FORMCHECKBOX </w:instrText>
            </w:r>
            <w:r w:rsidR="00160C04">
              <w:rPr>
                <w:b/>
                <w:szCs w:val="24"/>
                <w:lang w:val="en-IE"/>
              </w:rPr>
            </w:r>
            <w:r w:rsidR="00160C04">
              <w:rPr>
                <w:b/>
                <w:szCs w:val="24"/>
                <w:lang w:val="en-IE"/>
              </w:rPr>
              <w:fldChar w:fldCharType="separate"/>
            </w:r>
            <w:r w:rsidRPr="002E1E83">
              <w:rPr>
                <w:b/>
                <w:szCs w:val="24"/>
                <w:lang w:val="en-IE"/>
              </w:rPr>
              <w:fldChar w:fldCharType="end"/>
            </w:r>
          </w:p>
        </w:tc>
      </w:tr>
      <w:tr w:rsidR="00CC7DAD" w:rsidRPr="004E34FD" w14:paraId="7DCF40CA" w14:textId="77777777" w:rsidTr="002D5FA9">
        <w:tc>
          <w:tcPr>
            <w:tcW w:w="283" w:type="pct"/>
            <w:vMerge/>
            <w:vAlign w:val="center"/>
          </w:tcPr>
          <w:p w14:paraId="48757B1C"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shd w:val="clear" w:color="auto" w:fill="F2F2F2" w:themeFill="background1" w:themeFillShade="F2"/>
            <w:vAlign w:val="center"/>
          </w:tcPr>
          <w:p w14:paraId="5E00BB4F" w14:textId="77777777" w:rsidR="00CC7DAD" w:rsidRDefault="00CC7DAD" w:rsidP="002D5FA9">
            <w:pPr>
              <w:spacing w:before="0" w:after="0" w:line="240" w:lineRule="auto"/>
              <w:rPr>
                <w:rFonts w:eastAsia="Times New Roman"/>
                <w:lang w:val="en-GB" w:eastAsia="en-GB"/>
              </w:rPr>
            </w:pPr>
            <w:r w:rsidRPr="00843717">
              <w:rPr>
                <w:b/>
                <w:szCs w:val="24"/>
                <w:lang w:val="en-IE"/>
              </w:rPr>
              <w:t>Anxiety / Depression</w:t>
            </w:r>
            <w:r>
              <w:rPr>
                <w:rFonts w:eastAsia="Times New Roman"/>
                <w:lang w:val="en-GB" w:eastAsia="en-GB"/>
              </w:rPr>
              <w:t xml:space="preserve"> </w:t>
            </w:r>
          </w:p>
        </w:tc>
        <w:tc>
          <w:tcPr>
            <w:tcW w:w="1029" w:type="pct"/>
            <w:tcBorders>
              <w:left w:val="single" w:sz="4" w:space="0" w:color="auto"/>
            </w:tcBorders>
            <w:shd w:val="clear" w:color="auto" w:fill="F2F2F2" w:themeFill="background1" w:themeFillShade="F2"/>
          </w:tcPr>
          <w:p w14:paraId="5D1EB33E" w14:textId="77777777" w:rsidR="00CC7DAD" w:rsidRPr="004E34FD" w:rsidRDefault="00CC7DAD" w:rsidP="002D5FA9">
            <w:pPr>
              <w:spacing w:before="120" w:after="120"/>
              <w:jc w:val="center"/>
              <w:rPr>
                <w:b/>
                <w:szCs w:val="24"/>
                <w:lang w:val="en-IE"/>
              </w:rPr>
            </w:pPr>
            <w:r w:rsidRPr="000B0E9F">
              <w:rPr>
                <w:b/>
                <w:szCs w:val="24"/>
                <w:lang w:val="en-IE"/>
              </w:rPr>
              <w:t>Please Tick One</w:t>
            </w:r>
          </w:p>
        </w:tc>
      </w:tr>
      <w:tr w:rsidR="00CC7DAD" w:rsidRPr="004E34FD" w14:paraId="6AB9BC4E" w14:textId="77777777" w:rsidTr="002D5FA9">
        <w:tc>
          <w:tcPr>
            <w:tcW w:w="283" w:type="pct"/>
            <w:vMerge/>
            <w:vAlign w:val="center"/>
          </w:tcPr>
          <w:p w14:paraId="12F57B79"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6E8E8E9F" w14:textId="77777777" w:rsidR="00CC7DAD" w:rsidRDefault="00CC7DAD" w:rsidP="002D5FA9">
            <w:pPr>
              <w:spacing w:before="0" w:after="0" w:line="240" w:lineRule="auto"/>
              <w:rPr>
                <w:rFonts w:eastAsia="Times New Roman"/>
                <w:lang w:val="en-GB" w:eastAsia="en-GB"/>
              </w:rPr>
            </w:pPr>
            <w:r>
              <w:rPr>
                <w:rFonts w:eastAsia="Times New Roman"/>
                <w:lang w:val="en-GB" w:eastAsia="en-GB"/>
              </w:rPr>
              <w:t>I am not anxious or depressed</w:t>
            </w:r>
          </w:p>
        </w:tc>
        <w:tc>
          <w:tcPr>
            <w:tcW w:w="1029" w:type="pct"/>
            <w:tcBorders>
              <w:left w:val="single" w:sz="4" w:space="0" w:color="auto"/>
            </w:tcBorders>
          </w:tcPr>
          <w:p w14:paraId="6E025668" w14:textId="77777777" w:rsidR="00CC7DAD" w:rsidRPr="004E34FD" w:rsidRDefault="00CC7DAD"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r w:rsidR="00CC7DAD" w:rsidRPr="004E34FD" w14:paraId="789CFAC5" w14:textId="77777777" w:rsidTr="002D5FA9">
        <w:tc>
          <w:tcPr>
            <w:tcW w:w="283" w:type="pct"/>
            <w:vMerge/>
            <w:vAlign w:val="center"/>
          </w:tcPr>
          <w:p w14:paraId="7279E528"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49593427" w14:textId="77777777" w:rsidR="00CC7DAD" w:rsidRDefault="00CC7DAD" w:rsidP="002D5FA9">
            <w:pPr>
              <w:spacing w:before="0" w:after="0" w:line="240" w:lineRule="auto"/>
              <w:rPr>
                <w:rFonts w:eastAsia="Times New Roman"/>
                <w:lang w:val="en-GB" w:eastAsia="en-GB"/>
              </w:rPr>
            </w:pPr>
            <w:r>
              <w:rPr>
                <w:rFonts w:eastAsia="Times New Roman"/>
                <w:lang w:val="en-GB" w:eastAsia="en-GB"/>
              </w:rPr>
              <w:t>I am moderately anxious or depressed</w:t>
            </w:r>
          </w:p>
        </w:tc>
        <w:tc>
          <w:tcPr>
            <w:tcW w:w="1029" w:type="pct"/>
            <w:tcBorders>
              <w:left w:val="single" w:sz="4" w:space="0" w:color="auto"/>
            </w:tcBorders>
          </w:tcPr>
          <w:p w14:paraId="7E32A97C" w14:textId="77777777" w:rsidR="00CC7DAD" w:rsidRPr="004E34FD" w:rsidRDefault="00CC7DAD"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r w:rsidR="00CC7DAD" w:rsidRPr="004E34FD" w14:paraId="4C714AD4" w14:textId="77777777" w:rsidTr="002D5FA9">
        <w:tc>
          <w:tcPr>
            <w:tcW w:w="283" w:type="pct"/>
            <w:vMerge/>
            <w:vAlign w:val="center"/>
          </w:tcPr>
          <w:p w14:paraId="394D5A2B" w14:textId="77777777" w:rsidR="00CC7DAD" w:rsidRPr="004E34FD" w:rsidRDefault="00CC7DAD" w:rsidP="002D5FA9">
            <w:pPr>
              <w:spacing w:before="40" w:after="40"/>
              <w:jc w:val="both"/>
              <w:rPr>
                <w:b/>
                <w:bCs/>
                <w:szCs w:val="24"/>
                <w:lang w:val="en-IE"/>
              </w:rPr>
            </w:pPr>
          </w:p>
        </w:tc>
        <w:tc>
          <w:tcPr>
            <w:tcW w:w="3688" w:type="pct"/>
            <w:tcBorders>
              <w:right w:val="single" w:sz="4" w:space="0" w:color="auto"/>
            </w:tcBorders>
            <w:vAlign w:val="center"/>
          </w:tcPr>
          <w:p w14:paraId="6788EE2C" w14:textId="77777777" w:rsidR="00CC7DAD" w:rsidRDefault="00CC7DAD" w:rsidP="002D5FA9">
            <w:pPr>
              <w:spacing w:before="0" w:after="0" w:line="240" w:lineRule="auto"/>
              <w:rPr>
                <w:rFonts w:eastAsia="Times New Roman"/>
                <w:lang w:val="en-GB" w:eastAsia="en-GB"/>
              </w:rPr>
            </w:pPr>
            <w:r>
              <w:rPr>
                <w:rFonts w:eastAsia="Times New Roman"/>
                <w:lang w:val="en-GB" w:eastAsia="en-GB"/>
              </w:rPr>
              <w:t>I am extremely anxious or depressed</w:t>
            </w:r>
          </w:p>
        </w:tc>
        <w:tc>
          <w:tcPr>
            <w:tcW w:w="1029" w:type="pct"/>
            <w:tcBorders>
              <w:left w:val="single" w:sz="4" w:space="0" w:color="auto"/>
            </w:tcBorders>
          </w:tcPr>
          <w:p w14:paraId="0B2603ED" w14:textId="77777777" w:rsidR="00CC7DAD" w:rsidRPr="004E34FD" w:rsidRDefault="00CC7DAD" w:rsidP="002D5FA9">
            <w:pPr>
              <w:spacing w:before="120" w:after="120"/>
              <w:jc w:val="center"/>
              <w:rPr>
                <w:b/>
                <w:szCs w:val="24"/>
                <w:lang w:val="en-IE"/>
              </w:rPr>
            </w:pPr>
            <w:r w:rsidRPr="00886535">
              <w:rPr>
                <w:b/>
                <w:szCs w:val="24"/>
                <w:lang w:val="en-IE"/>
              </w:rPr>
              <w:fldChar w:fldCharType="begin">
                <w:ffData>
                  <w:name w:val="Check1"/>
                  <w:enabled/>
                  <w:calcOnExit w:val="0"/>
                  <w:checkBox>
                    <w:sizeAuto/>
                    <w:default w:val="0"/>
                  </w:checkBox>
                </w:ffData>
              </w:fldChar>
            </w:r>
            <w:r w:rsidRPr="00886535">
              <w:rPr>
                <w:b/>
                <w:szCs w:val="24"/>
                <w:lang w:val="en-IE"/>
              </w:rPr>
              <w:instrText xml:space="preserve"> FORMCHECKBOX </w:instrText>
            </w:r>
            <w:r w:rsidR="00160C04">
              <w:rPr>
                <w:b/>
                <w:szCs w:val="24"/>
                <w:lang w:val="en-IE"/>
              </w:rPr>
            </w:r>
            <w:r w:rsidR="00160C04">
              <w:rPr>
                <w:b/>
                <w:szCs w:val="24"/>
                <w:lang w:val="en-IE"/>
              </w:rPr>
              <w:fldChar w:fldCharType="separate"/>
            </w:r>
            <w:r w:rsidRPr="00886535">
              <w:rPr>
                <w:b/>
                <w:szCs w:val="24"/>
                <w:lang w:val="en-IE"/>
              </w:rPr>
              <w:fldChar w:fldCharType="end"/>
            </w:r>
          </w:p>
        </w:tc>
      </w:tr>
    </w:tbl>
    <w:p w14:paraId="3150758B" w14:textId="77777777" w:rsidR="00CC7DAD" w:rsidRPr="00982F1E" w:rsidRDefault="00CC7DAD" w:rsidP="00AE785D">
      <w:pPr>
        <w:pStyle w:val="BodyText-parastyle"/>
      </w:pPr>
      <w:r w:rsidRPr="00092EF5">
        <w:t>Mental Health</w:t>
      </w:r>
      <w:r>
        <w:rPr>
          <w:rStyle w:val="FootnoteReference"/>
        </w:rPr>
        <w:footnoteReference w:id="146"/>
      </w:r>
    </w:p>
    <w:tbl>
      <w:tblPr>
        <w:tblpPr w:leftFromText="180" w:rightFromText="180" w:vertAnchor="text" w:horzAnchor="margin" w:tblpX="98" w:tblpY="120"/>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08"/>
        <w:gridCol w:w="1098"/>
        <w:gridCol w:w="1099"/>
        <w:gridCol w:w="1098"/>
        <w:gridCol w:w="1098"/>
        <w:gridCol w:w="1099"/>
      </w:tblGrid>
      <w:tr w:rsidR="00CC7DAD" w:rsidRPr="00D53318" w14:paraId="37E88969" w14:textId="77777777" w:rsidTr="002D5FA9">
        <w:trPr>
          <w:tblHeader/>
        </w:trPr>
        <w:tc>
          <w:tcPr>
            <w:tcW w:w="567" w:type="dxa"/>
            <w:shd w:val="clear" w:color="auto" w:fill="E0E0E0"/>
            <w:vAlign w:val="center"/>
          </w:tcPr>
          <w:p w14:paraId="76BA16C1"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9000" w:type="dxa"/>
            <w:gridSpan w:val="6"/>
            <w:shd w:val="clear" w:color="auto" w:fill="E0E0E0"/>
            <w:vAlign w:val="center"/>
          </w:tcPr>
          <w:p w14:paraId="5C07F255" w14:textId="77777777" w:rsidR="00CC7DAD" w:rsidRDefault="00CC7DAD" w:rsidP="002D5FA9">
            <w:pPr>
              <w:spacing w:before="40" w:after="40" w:line="360" w:lineRule="auto"/>
              <w:jc w:val="both"/>
              <w:rPr>
                <w:b/>
              </w:rPr>
            </w:pPr>
            <w:r>
              <w:rPr>
                <w:b/>
              </w:rPr>
              <w:t xml:space="preserve">Below are some statements about feelings and thoughts.  Please tick the box that best describes your experience </w:t>
            </w:r>
            <w:r w:rsidRPr="003F5E04">
              <w:rPr>
                <w:b/>
                <w:u w:val="single"/>
              </w:rPr>
              <w:t>over the last 3 months</w:t>
            </w:r>
            <w:r>
              <w:rPr>
                <w:b/>
              </w:rPr>
              <w:t xml:space="preserve">: </w:t>
            </w:r>
            <w:r w:rsidRPr="00D53318">
              <w:rPr>
                <w:i/>
              </w:rPr>
              <w:t xml:space="preserve">Tick one </w:t>
            </w:r>
            <w:r>
              <w:rPr>
                <w:i/>
              </w:rPr>
              <w:t>on each row</w:t>
            </w:r>
          </w:p>
        </w:tc>
      </w:tr>
      <w:tr w:rsidR="00CC7DAD" w:rsidRPr="00D53318" w:rsidDel="00DC6327" w14:paraId="24F632F8" w14:textId="77777777" w:rsidTr="002D5FA9">
        <w:trPr>
          <w:trHeight w:val="998"/>
        </w:trPr>
        <w:tc>
          <w:tcPr>
            <w:tcW w:w="567" w:type="dxa"/>
            <w:vMerge w:val="restart"/>
            <w:vAlign w:val="center"/>
          </w:tcPr>
          <w:p w14:paraId="6EEC5583" w14:textId="77777777" w:rsidR="00CC7DAD" w:rsidRPr="00D53318" w:rsidRDefault="00CC7DAD" w:rsidP="002D5FA9">
            <w:pPr>
              <w:spacing w:before="40" w:after="40" w:line="360" w:lineRule="auto"/>
              <w:rPr>
                <w:b/>
                <w:bCs/>
              </w:rPr>
            </w:pPr>
          </w:p>
        </w:tc>
        <w:tc>
          <w:tcPr>
            <w:tcW w:w="3508" w:type="dxa"/>
            <w:vAlign w:val="center"/>
          </w:tcPr>
          <w:p w14:paraId="7B9970A8" w14:textId="77777777" w:rsidR="00CC7DAD" w:rsidRPr="00730069" w:rsidRDefault="00CC7DAD" w:rsidP="002D5FA9">
            <w:pPr>
              <w:spacing w:before="40" w:after="40" w:line="360" w:lineRule="auto"/>
              <w:jc w:val="center"/>
              <w:rPr>
                <w:b/>
              </w:rPr>
            </w:pPr>
            <w:r>
              <w:rPr>
                <w:b/>
              </w:rPr>
              <w:t>Statements</w:t>
            </w:r>
          </w:p>
        </w:tc>
        <w:tc>
          <w:tcPr>
            <w:tcW w:w="1098" w:type="dxa"/>
            <w:vAlign w:val="center"/>
          </w:tcPr>
          <w:p w14:paraId="4883D6CA" w14:textId="77777777" w:rsidR="00CC7DAD" w:rsidRPr="00730069" w:rsidRDefault="00CC7DAD" w:rsidP="002D5FA9">
            <w:pPr>
              <w:spacing w:before="40" w:after="40" w:line="360" w:lineRule="auto"/>
              <w:jc w:val="center"/>
              <w:rPr>
                <w:b/>
              </w:rPr>
            </w:pPr>
            <w:r>
              <w:rPr>
                <w:b/>
              </w:rPr>
              <w:t>None of the time</w:t>
            </w:r>
          </w:p>
        </w:tc>
        <w:tc>
          <w:tcPr>
            <w:tcW w:w="1099" w:type="dxa"/>
            <w:vAlign w:val="center"/>
          </w:tcPr>
          <w:p w14:paraId="04D3E3AB" w14:textId="77777777" w:rsidR="00CC7DAD" w:rsidRPr="00730069" w:rsidRDefault="00CC7DAD" w:rsidP="002D5FA9">
            <w:pPr>
              <w:spacing w:before="40" w:after="40" w:line="360" w:lineRule="auto"/>
              <w:jc w:val="center"/>
              <w:rPr>
                <w:b/>
              </w:rPr>
            </w:pPr>
            <w:r>
              <w:rPr>
                <w:b/>
              </w:rPr>
              <w:t>Rarely</w:t>
            </w:r>
          </w:p>
        </w:tc>
        <w:tc>
          <w:tcPr>
            <w:tcW w:w="1098" w:type="dxa"/>
            <w:vAlign w:val="center"/>
          </w:tcPr>
          <w:p w14:paraId="4FD1DA42" w14:textId="77777777" w:rsidR="00CC7DAD" w:rsidRPr="00730069" w:rsidRDefault="00CC7DAD" w:rsidP="002D5FA9">
            <w:pPr>
              <w:spacing w:before="40" w:after="40" w:line="360" w:lineRule="auto"/>
              <w:jc w:val="center"/>
              <w:rPr>
                <w:b/>
              </w:rPr>
            </w:pPr>
            <w:r>
              <w:rPr>
                <w:b/>
              </w:rPr>
              <w:t>Some of the time</w:t>
            </w:r>
          </w:p>
        </w:tc>
        <w:tc>
          <w:tcPr>
            <w:tcW w:w="1098" w:type="dxa"/>
            <w:vAlign w:val="center"/>
          </w:tcPr>
          <w:p w14:paraId="40AEE63A" w14:textId="77777777" w:rsidR="00CC7DAD" w:rsidRPr="00730069" w:rsidRDefault="00CC7DAD" w:rsidP="002D5FA9">
            <w:pPr>
              <w:spacing w:before="40" w:after="40" w:line="360" w:lineRule="auto"/>
              <w:jc w:val="center"/>
              <w:rPr>
                <w:b/>
              </w:rPr>
            </w:pPr>
            <w:r>
              <w:rPr>
                <w:b/>
              </w:rPr>
              <w:t>Often</w:t>
            </w:r>
          </w:p>
        </w:tc>
        <w:tc>
          <w:tcPr>
            <w:tcW w:w="1099" w:type="dxa"/>
            <w:vAlign w:val="center"/>
          </w:tcPr>
          <w:p w14:paraId="10C30728" w14:textId="77777777" w:rsidR="00CC7DAD" w:rsidRPr="00730069" w:rsidRDefault="00CC7DAD" w:rsidP="002D5FA9">
            <w:pPr>
              <w:spacing w:before="40" w:after="40" w:line="360" w:lineRule="auto"/>
              <w:jc w:val="center"/>
              <w:rPr>
                <w:b/>
              </w:rPr>
            </w:pPr>
            <w:r>
              <w:rPr>
                <w:b/>
              </w:rPr>
              <w:t>All of the time</w:t>
            </w:r>
          </w:p>
        </w:tc>
      </w:tr>
      <w:tr w:rsidR="00CC7DAD" w:rsidRPr="00D53318" w:rsidDel="00DC6327" w14:paraId="30B71862" w14:textId="77777777" w:rsidTr="002D5FA9">
        <w:trPr>
          <w:trHeight w:val="281"/>
        </w:trPr>
        <w:tc>
          <w:tcPr>
            <w:tcW w:w="567" w:type="dxa"/>
            <w:vMerge/>
            <w:vAlign w:val="center"/>
          </w:tcPr>
          <w:p w14:paraId="140E18BB" w14:textId="77777777" w:rsidR="00CC7DAD" w:rsidRPr="00D53318" w:rsidRDefault="00CC7DAD" w:rsidP="002D5FA9">
            <w:pPr>
              <w:spacing w:before="40" w:after="40" w:line="360" w:lineRule="auto"/>
              <w:rPr>
                <w:b/>
                <w:bCs/>
              </w:rPr>
            </w:pPr>
          </w:p>
        </w:tc>
        <w:tc>
          <w:tcPr>
            <w:tcW w:w="3508" w:type="dxa"/>
          </w:tcPr>
          <w:p w14:paraId="7BD78018" w14:textId="77777777" w:rsidR="00CC7DAD" w:rsidRPr="00982F1E" w:rsidRDefault="00CC7DAD" w:rsidP="002D5FA9">
            <w:pPr>
              <w:spacing w:before="40" w:after="40" w:line="360" w:lineRule="auto"/>
              <w:rPr>
                <w:bCs/>
                <w:lang w:val="en-IE"/>
              </w:rPr>
            </w:pPr>
            <w:r w:rsidRPr="00982F1E">
              <w:rPr>
                <w:bCs/>
                <w:lang w:val="en-IE"/>
              </w:rPr>
              <w:t>I’ve been feeling optimistic about the future</w:t>
            </w:r>
          </w:p>
        </w:tc>
        <w:tc>
          <w:tcPr>
            <w:tcW w:w="1098" w:type="dxa"/>
            <w:vAlign w:val="center"/>
          </w:tcPr>
          <w:p w14:paraId="155A0179"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38F73009"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7DFAA222"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32ADC87"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6E5AE95A"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3A164BF8" w14:textId="77777777" w:rsidTr="002D5FA9">
        <w:trPr>
          <w:trHeight w:val="281"/>
        </w:trPr>
        <w:tc>
          <w:tcPr>
            <w:tcW w:w="567" w:type="dxa"/>
            <w:vMerge/>
            <w:vAlign w:val="center"/>
          </w:tcPr>
          <w:p w14:paraId="7B2F36A6" w14:textId="77777777" w:rsidR="00CC7DAD" w:rsidRPr="00D53318" w:rsidRDefault="00CC7DAD" w:rsidP="002D5FA9">
            <w:pPr>
              <w:spacing w:before="40" w:after="40" w:line="360" w:lineRule="auto"/>
              <w:rPr>
                <w:b/>
                <w:bCs/>
              </w:rPr>
            </w:pPr>
          </w:p>
        </w:tc>
        <w:tc>
          <w:tcPr>
            <w:tcW w:w="3508" w:type="dxa"/>
          </w:tcPr>
          <w:p w14:paraId="5D507058" w14:textId="77777777" w:rsidR="00CC7DAD" w:rsidRPr="00982F1E" w:rsidRDefault="00CC7DAD" w:rsidP="002D5FA9">
            <w:pPr>
              <w:spacing w:before="40" w:after="40" w:line="360" w:lineRule="auto"/>
              <w:rPr>
                <w:bCs/>
                <w:lang w:val="en-IE"/>
              </w:rPr>
            </w:pPr>
            <w:r>
              <w:rPr>
                <w:bCs/>
                <w:lang w:val="en-IE"/>
              </w:rPr>
              <w:t>I’ve been feeling useful</w:t>
            </w:r>
          </w:p>
        </w:tc>
        <w:tc>
          <w:tcPr>
            <w:tcW w:w="1098" w:type="dxa"/>
            <w:vAlign w:val="center"/>
          </w:tcPr>
          <w:p w14:paraId="71F2CB7D"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0A756D5B"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55F0E1BF"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511443E"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5273A88F"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2F7D3AA5" w14:textId="77777777" w:rsidTr="002D5FA9">
        <w:trPr>
          <w:trHeight w:val="281"/>
        </w:trPr>
        <w:tc>
          <w:tcPr>
            <w:tcW w:w="567" w:type="dxa"/>
            <w:vMerge/>
            <w:vAlign w:val="center"/>
          </w:tcPr>
          <w:p w14:paraId="046D30A7" w14:textId="77777777" w:rsidR="00CC7DAD" w:rsidRPr="00D53318" w:rsidRDefault="00CC7DAD" w:rsidP="002D5FA9">
            <w:pPr>
              <w:spacing w:before="40" w:after="40" w:line="360" w:lineRule="auto"/>
              <w:rPr>
                <w:b/>
                <w:bCs/>
              </w:rPr>
            </w:pPr>
          </w:p>
        </w:tc>
        <w:tc>
          <w:tcPr>
            <w:tcW w:w="3508" w:type="dxa"/>
          </w:tcPr>
          <w:p w14:paraId="6BF03C0D" w14:textId="77777777" w:rsidR="00CC7DAD" w:rsidRPr="00982F1E" w:rsidRDefault="00CC7DAD" w:rsidP="002D5FA9">
            <w:pPr>
              <w:spacing w:before="40" w:after="40" w:line="360" w:lineRule="auto"/>
              <w:rPr>
                <w:bCs/>
                <w:lang w:val="en-IE"/>
              </w:rPr>
            </w:pPr>
            <w:r>
              <w:rPr>
                <w:bCs/>
                <w:lang w:val="en-IE"/>
              </w:rPr>
              <w:t>I’ve been feeling relaxed</w:t>
            </w:r>
          </w:p>
        </w:tc>
        <w:tc>
          <w:tcPr>
            <w:tcW w:w="1098" w:type="dxa"/>
            <w:vAlign w:val="center"/>
          </w:tcPr>
          <w:p w14:paraId="7A3CA033"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02DAD0DF"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F8BB6BB"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4DEDF4DC"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3CD76CFF"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02D16C2E" w14:textId="77777777" w:rsidTr="002D5FA9">
        <w:trPr>
          <w:trHeight w:val="281"/>
        </w:trPr>
        <w:tc>
          <w:tcPr>
            <w:tcW w:w="567" w:type="dxa"/>
            <w:vMerge/>
            <w:vAlign w:val="center"/>
          </w:tcPr>
          <w:p w14:paraId="723F94C5" w14:textId="77777777" w:rsidR="00CC7DAD" w:rsidRPr="00D53318" w:rsidRDefault="00CC7DAD" w:rsidP="002D5FA9">
            <w:pPr>
              <w:spacing w:before="40" w:after="40" w:line="360" w:lineRule="auto"/>
              <w:rPr>
                <w:b/>
                <w:bCs/>
              </w:rPr>
            </w:pPr>
          </w:p>
        </w:tc>
        <w:tc>
          <w:tcPr>
            <w:tcW w:w="3508" w:type="dxa"/>
          </w:tcPr>
          <w:p w14:paraId="0C3B38B0" w14:textId="77777777" w:rsidR="00CC7DAD" w:rsidRPr="00982F1E" w:rsidRDefault="00CC7DAD" w:rsidP="002D5FA9">
            <w:pPr>
              <w:spacing w:before="40" w:after="40" w:line="360" w:lineRule="auto"/>
              <w:rPr>
                <w:bCs/>
                <w:lang w:val="en-IE"/>
              </w:rPr>
            </w:pPr>
            <w:r>
              <w:rPr>
                <w:bCs/>
                <w:lang w:val="en-IE"/>
              </w:rPr>
              <w:t>I’ve been dealing with problems well</w:t>
            </w:r>
          </w:p>
        </w:tc>
        <w:tc>
          <w:tcPr>
            <w:tcW w:w="1098" w:type="dxa"/>
            <w:vAlign w:val="center"/>
          </w:tcPr>
          <w:p w14:paraId="56FA79CC"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621F7A59"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6CA5901B"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26964B9A"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6EDF2D15"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104532B8" w14:textId="77777777" w:rsidTr="002D5FA9">
        <w:trPr>
          <w:trHeight w:val="281"/>
        </w:trPr>
        <w:tc>
          <w:tcPr>
            <w:tcW w:w="567" w:type="dxa"/>
            <w:vMerge/>
            <w:vAlign w:val="center"/>
          </w:tcPr>
          <w:p w14:paraId="372FC367" w14:textId="77777777" w:rsidR="00CC7DAD" w:rsidRPr="00D53318" w:rsidRDefault="00CC7DAD" w:rsidP="002D5FA9">
            <w:pPr>
              <w:spacing w:before="40" w:after="40" w:line="360" w:lineRule="auto"/>
              <w:rPr>
                <w:b/>
                <w:bCs/>
              </w:rPr>
            </w:pPr>
          </w:p>
        </w:tc>
        <w:tc>
          <w:tcPr>
            <w:tcW w:w="3508" w:type="dxa"/>
          </w:tcPr>
          <w:p w14:paraId="3E682415" w14:textId="77777777" w:rsidR="00CC7DAD" w:rsidRPr="00982F1E" w:rsidRDefault="00CC7DAD" w:rsidP="002D5FA9">
            <w:pPr>
              <w:spacing w:before="40" w:after="40" w:line="360" w:lineRule="auto"/>
              <w:rPr>
                <w:bCs/>
                <w:lang w:val="en-IE"/>
              </w:rPr>
            </w:pPr>
            <w:r>
              <w:rPr>
                <w:bCs/>
                <w:lang w:val="en-IE"/>
              </w:rPr>
              <w:t>I’ve been thinking clearly</w:t>
            </w:r>
          </w:p>
        </w:tc>
        <w:tc>
          <w:tcPr>
            <w:tcW w:w="1098" w:type="dxa"/>
            <w:vAlign w:val="center"/>
          </w:tcPr>
          <w:p w14:paraId="3C3D060E"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0C1E2B6B"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7C7463A9"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82048A7"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298FE4B1"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3B33A0A6" w14:textId="77777777" w:rsidTr="002D5FA9">
        <w:trPr>
          <w:trHeight w:val="281"/>
        </w:trPr>
        <w:tc>
          <w:tcPr>
            <w:tcW w:w="567" w:type="dxa"/>
            <w:vMerge/>
            <w:vAlign w:val="center"/>
          </w:tcPr>
          <w:p w14:paraId="49B77D35" w14:textId="77777777" w:rsidR="00CC7DAD" w:rsidRPr="00D53318" w:rsidRDefault="00CC7DAD" w:rsidP="002D5FA9">
            <w:pPr>
              <w:spacing w:before="40" w:after="40" w:line="360" w:lineRule="auto"/>
              <w:rPr>
                <w:b/>
                <w:bCs/>
              </w:rPr>
            </w:pPr>
          </w:p>
        </w:tc>
        <w:tc>
          <w:tcPr>
            <w:tcW w:w="3508" w:type="dxa"/>
          </w:tcPr>
          <w:p w14:paraId="1F4B3538" w14:textId="77777777" w:rsidR="00CC7DAD" w:rsidRPr="00982F1E" w:rsidRDefault="00CC7DAD" w:rsidP="002D5FA9">
            <w:pPr>
              <w:spacing w:before="40" w:after="40" w:line="360" w:lineRule="auto"/>
              <w:rPr>
                <w:bCs/>
                <w:lang w:val="en-IE"/>
              </w:rPr>
            </w:pPr>
            <w:r>
              <w:rPr>
                <w:bCs/>
                <w:lang w:val="en-IE"/>
              </w:rPr>
              <w:t>I’ve been feeling close to other people</w:t>
            </w:r>
          </w:p>
        </w:tc>
        <w:tc>
          <w:tcPr>
            <w:tcW w:w="1098" w:type="dxa"/>
            <w:vAlign w:val="center"/>
          </w:tcPr>
          <w:p w14:paraId="23456C74"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395E6014"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7498B31C"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211C1CD4"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4E8ABAF8"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r w:rsidR="00CC7DAD" w:rsidRPr="00D53318" w:rsidDel="00DC6327" w14:paraId="6391B54D" w14:textId="77777777" w:rsidTr="002D5FA9">
        <w:trPr>
          <w:trHeight w:val="281"/>
        </w:trPr>
        <w:tc>
          <w:tcPr>
            <w:tcW w:w="567" w:type="dxa"/>
            <w:vMerge/>
            <w:vAlign w:val="center"/>
          </w:tcPr>
          <w:p w14:paraId="46A6D101" w14:textId="77777777" w:rsidR="00CC7DAD" w:rsidRPr="00D53318" w:rsidRDefault="00CC7DAD" w:rsidP="002D5FA9">
            <w:pPr>
              <w:spacing w:before="40" w:after="40" w:line="360" w:lineRule="auto"/>
              <w:rPr>
                <w:b/>
                <w:bCs/>
              </w:rPr>
            </w:pPr>
          </w:p>
        </w:tc>
        <w:tc>
          <w:tcPr>
            <w:tcW w:w="3508" w:type="dxa"/>
          </w:tcPr>
          <w:p w14:paraId="08ACDEE5" w14:textId="77777777" w:rsidR="00CC7DAD" w:rsidRPr="00982F1E" w:rsidRDefault="00CC7DAD" w:rsidP="002D5FA9">
            <w:pPr>
              <w:spacing w:before="40" w:after="40" w:line="360" w:lineRule="auto"/>
              <w:rPr>
                <w:bCs/>
                <w:lang w:val="en-IE"/>
              </w:rPr>
            </w:pPr>
            <w:r>
              <w:rPr>
                <w:bCs/>
                <w:lang w:val="en-IE"/>
              </w:rPr>
              <w:t>I’ve been able to make up my own mind about things</w:t>
            </w:r>
          </w:p>
        </w:tc>
        <w:tc>
          <w:tcPr>
            <w:tcW w:w="1098" w:type="dxa"/>
            <w:vAlign w:val="center"/>
          </w:tcPr>
          <w:p w14:paraId="6AEFAE43"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vAlign w:val="center"/>
          </w:tcPr>
          <w:p w14:paraId="07FD2D97"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16CAA70A"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8" w:type="dxa"/>
            <w:vAlign w:val="center"/>
          </w:tcPr>
          <w:p w14:paraId="7776F269"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c>
          <w:tcPr>
            <w:tcW w:w="1099" w:type="dxa"/>
          </w:tcPr>
          <w:p w14:paraId="293EA6CC" w14:textId="77777777" w:rsidR="00CC7DAD" w:rsidRPr="00730069" w:rsidRDefault="00CC7DAD" w:rsidP="002D5FA9">
            <w:pPr>
              <w:spacing w:before="40" w:after="40" w:line="360" w:lineRule="auto"/>
              <w:jc w:val="center"/>
              <w:rPr>
                <w:b/>
              </w:rPr>
            </w:pPr>
            <w:r w:rsidRPr="00730069">
              <w:rPr>
                <w:b/>
              </w:rPr>
              <w:fldChar w:fldCharType="begin">
                <w:ffData>
                  <w:name w:val="Check2"/>
                  <w:enabled/>
                  <w:calcOnExit w:val="0"/>
                  <w:checkBox>
                    <w:sizeAuto/>
                    <w:default w:val="0"/>
                  </w:checkBox>
                </w:ffData>
              </w:fldChar>
            </w:r>
            <w:r w:rsidRPr="00730069">
              <w:rPr>
                <w:b/>
              </w:rPr>
              <w:instrText xml:space="preserve"> FORMCHECKBOX </w:instrText>
            </w:r>
            <w:r w:rsidR="00160C04">
              <w:rPr>
                <w:b/>
              </w:rPr>
            </w:r>
            <w:r w:rsidR="00160C04">
              <w:rPr>
                <w:b/>
              </w:rPr>
              <w:fldChar w:fldCharType="separate"/>
            </w:r>
            <w:r w:rsidRPr="00730069">
              <w:rPr>
                <w:b/>
              </w:rPr>
              <w:fldChar w:fldCharType="end"/>
            </w:r>
          </w:p>
        </w:tc>
      </w:tr>
    </w:tbl>
    <w:p w14:paraId="67E538F7" w14:textId="77777777" w:rsidR="00CC7DAD"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572"/>
        <w:gridCol w:w="1389"/>
      </w:tblGrid>
      <w:tr w:rsidR="00CC7DAD" w:rsidRPr="004E34FD" w14:paraId="7109BA34" w14:textId="77777777" w:rsidTr="002D5FA9">
        <w:trPr>
          <w:trHeight w:val="296"/>
        </w:trPr>
        <w:tc>
          <w:tcPr>
            <w:tcW w:w="283" w:type="pct"/>
            <w:shd w:val="clear" w:color="auto" w:fill="E0E0E0"/>
            <w:vAlign w:val="center"/>
          </w:tcPr>
          <w:p w14:paraId="5FC74E72" w14:textId="77777777" w:rsidR="00CC7DAD" w:rsidRPr="004E34FD" w:rsidRDefault="00CC7DAD" w:rsidP="00C1010B">
            <w:pPr>
              <w:widowControl/>
              <w:numPr>
                <w:ilvl w:val="0"/>
                <w:numId w:val="48"/>
              </w:numPr>
              <w:tabs>
                <w:tab w:val="num" w:pos="682"/>
              </w:tabs>
              <w:spacing w:before="40" w:after="40" w:line="360" w:lineRule="auto"/>
              <w:jc w:val="both"/>
              <w:rPr>
                <w:b/>
              </w:rPr>
            </w:pPr>
          </w:p>
        </w:tc>
        <w:tc>
          <w:tcPr>
            <w:tcW w:w="4717" w:type="pct"/>
            <w:gridSpan w:val="2"/>
            <w:tcBorders>
              <w:bottom w:val="single" w:sz="4" w:space="0" w:color="auto"/>
            </w:tcBorders>
            <w:shd w:val="clear" w:color="auto" w:fill="E0E0E0"/>
            <w:vAlign w:val="center"/>
          </w:tcPr>
          <w:p w14:paraId="7C1948C5" w14:textId="77777777" w:rsidR="00CC7DAD" w:rsidRPr="004E34FD" w:rsidRDefault="00CC7DAD" w:rsidP="002D5FA9">
            <w:pPr>
              <w:spacing w:before="40" w:after="40" w:line="360" w:lineRule="auto"/>
              <w:jc w:val="both"/>
              <w:rPr>
                <w:b/>
                <w:szCs w:val="24"/>
                <w:lang w:val="en-IE"/>
              </w:rPr>
            </w:pPr>
            <w:r w:rsidRPr="00BB5BC9">
              <w:rPr>
                <w:b/>
                <w:bCs/>
                <w:szCs w:val="24"/>
                <w:lang w:val="en-GB"/>
              </w:rPr>
              <w:t>Thinking about how much contact you</w:t>
            </w:r>
            <w:r>
              <w:rPr>
                <w:b/>
                <w:bCs/>
                <w:szCs w:val="24"/>
                <w:lang w:val="en-GB"/>
              </w:rPr>
              <w:t xml:space="preserve"> have </w:t>
            </w:r>
            <w:r w:rsidRPr="00BB5BC9">
              <w:rPr>
                <w:b/>
                <w:bCs/>
                <w:szCs w:val="24"/>
                <w:lang w:val="en-GB"/>
              </w:rPr>
              <w:t>had with people you like</w:t>
            </w:r>
            <w:r>
              <w:rPr>
                <w:b/>
                <w:bCs/>
                <w:szCs w:val="24"/>
                <w:lang w:val="en-GB"/>
              </w:rPr>
              <w:t xml:space="preserve"> </w:t>
            </w:r>
            <w:r w:rsidRPr="00B873FC">
              <w:rPr>
                <w:b/>
                <w:bCs/>
                <w:szCs w:val="24"/>
                <w:u w:val="single"/>
                <w:lang w:val="en-GB"/>
              </w:rPr>
              <w:t>in the last 3 months</w:t>
            </w:r>
            <w:r w:rsidRPr="00BB5BC9">
              <w:rPr>
                <w:b/>
                <w:bCs/>
                <w:szCs w:val="24"/>
                <w:lang w:val="en-GB"/>
              </w:rPr>
              <w:t>, which of the following statements best describes your social situation</w:t>
            </w:r>
            <w:r>
              <w:rPr>
                <w:b/>
                <w:bCs/>
                <w:szCs w:val="24"/>
                <w:lang w:val="en-GB"/>
              </w:rPr>
              <w:t>:</w:t>
            </w:r>
            <w:r>
              <w:rPr>
                <w:rStyle w:val="FootnoteReference"/>
                <w:b/>
                <w:bCs/>
                <w:szCs w:val="24"/>
                <w:lang w:val="en-GB"/>
              </w:rPr>
              <w:footnoteReference w:id="147"/>
            </w:r>
          </w:p>
        </w:tc>
      </w:tr>
      <w:tr w:rsidR="00CC7DAD" w:rsidRPr="004E34FD" w:rsidDel="00DC6327" w14:paraId="1F23D0E1" w14:textId="77777777" w:rsidTr="002D5FA9">
        <w:tc>
          <w:tcPr>
            <w:tcW w:w="283" w:type="pct"/>
            <w:vMerge w:val="restart"/>
            <w:vAlign w:val="center"/>
          </w:tcPr>
          <w:p w14:paraId="1D395AD9"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3C5EF759" w14:textId="77777777" w:rsidR="00CC7DAD" w:rsidRPr="00BB5BC9" w:rsidRDefault="00CC7DAD" w:rsidP="002D5FA9">
            <w:pPr>
              <w:spacing w:before="40" w:after="40" w:line="360" w:lineRule="auto"/>
              <w:rPr>
                <w:bCs/>
                <w:lang w:val="en-IE"/>
              </w:rPr>
            </w:pPr>
            <w:r w:rsidRPr="00BB5BC9">
              <w:rPr>
                <w:bCs/>
                <w:lang w:val="en-IE"/>
              </w:rPr>
              <w:t>I have as much social contact as I want with people I like</w:t>
            </w:r>
          </w:p>
        </w:tc>
        <w:tc>
          <w:tcPr>
            <w:tcW w:w="731" w:type="pct"/>
            <w:tcBorders>
              <w:left w:val="single" w:sz="4" w:space="0" w:color="auto"/>
            </w:tcBorders>
            <w:vAlign w:val="center"/>
          </w:tcPr>
          <w:p w14:paraId="2243D3DF" w14:textId="77777777" w:rsidR="00CC7DAD" w:rsidRPr="004E34FD" w:rsidDel="00DC6327"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rsidDel="00DC6327" w14:paraId="069DB4D7" w14:textId="77777777" w:rsidTr="002D5FA9">
        <w:tc>
          <w:tcPr>
            <w:tcW w:w="283" w:type="pct"/>
            <w:vMerge/>
            <w:vAlign w:val="center"/>
          </w:tcPr>
          <w:p w14:paraId="3C110A6D"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74C9C465" w14:textId="77777777" w:rsidR="00CC7DAD" w:rsidRPr="00BB5BC9" w:rsidRDefault="00CC7DAD" w:rsidP="002D5FA9">
            <w:pPr>
              <w:spacing w:before="40" w:after="40" w:line="360" w:lineRule="auto"/>
              <w:rPr>
                <w:bCs/>
                <w:lang w:val="en-IE"/>
              </w:rPr>
            </w:pPr>
            <w:r w:rsidRPr="00BB5BC9">
              <w:rPr>
                <w:bCs/>
                <w:lang w:val="en-IE"/>
              </w:rPr>
              <w:t>I have adequate social contact with people</w:t>
            </w:r>
          </w:p>
        </w:tc>
        <w:tc>
          <w:tcPr>
            <w:tcW w:w="731" w:type="pct"/>
            <w:tcBorders>
              <w:left w:val="single" w:sz="4" w:space="0" w:color="auto"/>
            </w:tcBorders>
          </w:tcPr>
          <w:p w14:paraId="7B805DDC"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781AF140" w14:textId="77777777" w:rsidTr="002D5FA9">
        <w:tc>
          <w:tcPr>
            <w:tcW w:w="283" w:type="pct"/>
            <w:vMerge/>
            <w:vAlign w:val="center"/>
          </w:tcPr>
          <w:p w14:paraId="6B2F4F94"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110CD8CE" w14:textId="77777777" w:rsidR="00CC7DAD" w:rsidRPr="00BB5BC9" w:rsidRDefault="00CC7DAD" w:rsidP="002D5FA9">
            <w:pPr>
              <w:spacing w:before="40" w:after="40" w:line="360" w:lineRule="auto"/>
              <w:rPr>
                <w:bCs/>
                <w:lang w:val="en-IE"/>
              </w:rPr>
            </w:pPr>
            <w:r w:rsidRPr="00BB5BC9">
              <w:rPr>
                <w:bCs/>
                <w:lang w:val="en-IE"/>
              </w:rPr>
              <w:t>I have some social contact with people, but not enough</w:t>
            </w:r>
          </w:p>
        </w:tc>
        <w:tc>
          <w:tcPr>
            <w:tcW w:w="731" w:type="pct"/>
            <w:tcBorders>
              <w:left w:val="single" w:sz="4" w:space="0" w:color="auto"/>
            </w:tcBorders>
          </w:tcPr>
          <w:p w14:paraId="34E60A03" w14:textId="77777777" w:rsidR="00CC7DAD" w:rsidRPr="004E34FD"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r w:rsidR="00CC7DAD" w:rsidRPr="004E34FD" w14:paraId="64F39F55" w14:textId="77777777" w:rsidTr="002D5FA9">
        <w:tc>
          <w:tcPr>
            <w:tcW w:w="283" w:type="pct"/>
            <w:vMerge/>
            <w:vAlign w:val="center"/>
          </w:tcPr>
          <w:p w14:paraId="3CA60E20" w14:textId="77777777" w:rsidR="00CC7DAD" w:rsidRPr="004E34FD" w:rsidRDefault="00CC7DAD" w:rsidP="002D5FA9">
            <w:pPr>
              <w:spacing w:before="40" w:after="40" w:line="360" w:lineRule="auto"/>
              <w:jc w:val="both"/>
              <w:rPr>
                <w:b/>
                <w:bCs/>
                <w:szCs w:val="24"/>
                <w:lang w:val="en-IE"/>
              </w:rPr>
            </w:pPr>
          </w:p>
        </w:tc>
        <w:tc>
          <w:tcPr>
            <w:tcW w:w="3986" w:type="pct"/>
            <w:vAlign w:val="center"/>
          </w:tcPr>
          <w:p w14:paraId="4978AE6D" w14:textId="77777777" w:rsidR="00CC7DAD" w:rsidRPr="00BB5BC9" w:rsidRDefault="00CC7DAD" w:rsidP="002D5FA9">
            <w:pPr>
              <w:spacing w:before="40" w:after="40" w:line="360" w:lineRule="auto"/>
              <w:rPr>
                <w:bCs/>
                <w:lang w:val="en-IE"/>
              </w:rPr>
            </w:pPr>
            <w:r w:rsidRPr="00BB5BC9">
              <w:rPr>
                <w:bCs/>
                <w:lang w:val="en-IE"/>
              </w:rPr>
              <w:t>I have little social contact with people and feel socially isolated</w:t>
            </w:r>
          </w:p>
        </w:tc>
        <w:tc>
          <w:tcPr>
            <w:tcW w:w="731" w:type="pct"/>
            <w:tcBorders>
              <w:left w:val="single" w:sz="4" w:space="0" w:color="auto"/>
            </w:tcBorders>
            <w:vAlign w:val="center"/>
          </w:tcPr>
          <w:p w14:paraId="35C86C68" w14:textId="77777777" w:rsidR="00CC7DAD" w:rsidRPr="004E34FD" w:rsidDel="00DC6327" w:rsidRDefault="00CC7DAD" w:rsidP="002D5FA9">
            <w:pPr>
              <w:spacing w:before="120" w:after="120" w:line="360" w:lineRule="auto"/>
              <w:jc w:val="center"/>
              <w:rPr>
                <w:b/>
                <w:szCs w:val="24"/>
                <w:lang w:val="en-IE"/>
              </w:rPr>
            </w:pPr>
            <w:r w:rsidRPr="004E34FD">
              <w:rPr>
                <w:b/>
                <w:szCs w:val="24"/>
                <w:lang w:val="en-IE"/>
              </w:rPr>
              <w:fldChar w:fldCharType="begin">
                <w:ffData>
                  <w:name w:val="Check1"/>
                  <w:enabled/>
                  <w:calcOnExit w:val="0"/>
                  <w:checkBox>
                    <w:sizeAuto/>
                    <w:default w:val="0"/>
                  </w:checkBox>
                </w:ffData>
              </w:fldChar>
            </w:r>
            <w:r w:rsidRPr="004E34FD">
              <w:rPr>
                <w:b/>
                <w:szCs w:val="24"/>
                <w:lang w:val="en-IE"/>
              </w:rPr>
              <w:instrText xml:space="preserve"> FORMCHECKBOX </w:instrText>
            </w:r>
            <w:r w:rsidR="00160C04">
              <w:rPr>
                <w:b/>
                <w:szCs w:val="24"/>
                <w:lang w:val="en-IE"/>
              </w:rPr>
            </w:r>
            <w:r w:rsidR="00160C04">
              <w:rPr>
                <w:b/>
                <w:szCs w:val="24"/>
                <w:lang w:val="en-IE"/>
              </w:rPr>
              <w:fldChar w:fldCharType="separate"/>
            </w:r>
            <w:r w:rsidRPr="004E34FD">
              <w:rPr>
                <w:b/>
                <w:szCs w:val="24"/>
                <w:lang w:val="en-IE"/>
              </w:rPr>
              <w:fldChar w:fldCharType="end"/>
            </w:r>
          </w:p>
        </w:tc>
      </w:tr>
    </w:tbl>
    <w:p w14:paraId="713459A4" w14:textId="77777777" w:rsidR="00CC7DAD" w:rsidRDefault="00CC7DAD" w:rsidP="00AE785D">
      <w:pPr>
        <w:pStyle w:val="BodyText-parastyle"/>
      </w:pPr>
    </w:p>
    <w:p w14:paraId="005FD9A6" w14:textId="77777777" w:rsidR="00CC7DAD" w:rsidRDefault="00CC7DAD" w:rsidP="00AE785D">
      <w:pPr>
        <w:pStyle w:val="BodyText-parastyle"/>
      </w:pPr>
    </w:p>
    <w:p w14:paraId="782D6C86" w14:textId="77777777" w:rsidR="00CC7DAD" w:rsidRDefault="00CC7DAD" w:rsidP="00AE785D">
      <w:pPr>
        <w:pStyle w:val="BodyText-parastyle"/>
      </w:pPr>
    </w:p>
    <w:p w14:paraId="01A94BDE" w14:textId="77777777" w:rsidR="00CC7DAD" w:rsidRPr="00982F1E" w:rsidRDefault="00CC7DAD" w:rsidP="00AE785D">
      <w:pPr>
        <w:pStyle w:val="BodyText-parastyle"/>
      </w:pPr>
      <w:r w:rsidRPr="00092EF5">
        <w:t>Your Health Today</w:t>
      </w:r>
      <w:r>
        <w:rPr>
          <w:rStyle w:val="FootnoteReference"/>
        </w:rPr>
        <w:footnoteReference w:id="148"/>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550"/>
        <w:gridCol w:w="4548"/>
      </w:tblGrid>
      <w:tr w:rsidR="00CC7DAD" w:rsidRPr="000963D4" w14:paraId="3FC8D8E7" w14:textId="77777777" w:rsidTr="002D5FA9">
        <w:trPr>
          <w:trHeight w:val="296"/>
          <w:tblHeader/>
        </w:trPr>
        <w:tc>
          <w:tcPr>
            <w:tcW w:w="281" w:type="pct"/>
            <w:shd w:val="clear" w:color="auto" w:fill="E0E0E0"/>
            <w:vAlign w:val="center"/>
          </w:tcPr>
          <w:p w14:paraId="56D036D3" w14:textId="77777777" w:rsidR="00CC7DAD" w:rsidRPr="000963D4" w:rsidRDefault="00CC7DAD" w:rsidP="00C1010B">
            <w:pPr>
              <w:widowControl/>
              <w:numPr>
                <w:ilvl w:val="0"/>
                <w:numId w:val="48"/>
              </w:numPr>
              <w:tabs>
                <w:tab w:val="num" w:pos="1364"/>
              </w:tabs>
              <w:spacing w:after="200" w:line="600" w:lineRule="auto"/>
              <w:jc w:val="both"/>
              <w:rPr>
                <w:b/>
              </w:rPr>
            </w:pPr>
          </w:p>
        </w:tc>
        <w:tc>
          <w:tcPr>
            <w:tcW w:w="4719" w:type="pct"/>
            <w:gridSpan w:val="2"/>
            <w:shd w:val="clear" w:color="auto" w:fill="E0E0E0"/>
            <w:vAlign w:val="center"/>
          </w:tcPr>
          <w:p w14:paraId="0CD418D2" w14:textId="77777777" w:rsidR="00CC7DAD" w:rsidRPr="000963D4" w:rsidRDefault="00CC7DAD" w:rsidP="002D5FA9">
            <w:pPr>
              <w:spacing w:after="60" w:line="240" w:lineRule="auto"/>
              <w:jc w:val="both"/>
              <w:rPr>
                <w:b/>
                <w:szCs w:val="24"/>
                <w:lang w:val="en-IE"/>
              </w:rPr>
            </w:pPr>
            <w:r w:rsidRPr="00B02A62">
              <w:rPr>
                <w:b/>
                <w:szCs w:val="24"/>
                <w:lang w:val="en-IE"/>
              </w:rPr>
              <w:t xml:space="preserve">We would like to know how good or bad your health is TODAY. The scale is numbered 1 to 100. 100 means the BEST health you can imagine, while 1 means the WORST health you can imagine. </w:t>
            </w:r>
            <w:r w:rsidRPr="00B873FC">
              <w:rPr>
                <w:b/>
                <w:szCs w:val="24"/>
                <w:u w:val="single"/>
                <w:lang w:val="en-IE"/>
              </w:rPr>
              <w:t>Please write a number between 1 and 100 in the box provided below to indicate how your health is TODAY</w:t>
            </w:r>
          </w:p>
        </w:tc>
      </w:tr>
      <w:tr w:rsidR="00CC7DAD" w:rsidRPr="000963D4" w:rsidDel="00DC6327" w14:paraId="00602137" w14:textId="77777777" w:rsidTr="002D5FA9">
        <w:trPr>
          <w:trHeight w:val="454"/>
        </w:trPr>
        <w:tc>
          <w:tcPr>
            <w:tcW w:w="281" w:type="pct"/>
            <w:vAlign w:val="center"/>
          </w:tcPr>
          <w:p w14:paraId="1735DAA1" w14:textId="77777777" w:rsidR="00CC7DAD" w:rsidRPr="000963D4" w:rsidRDefault="00CC7DAD" w:rsidP="002D5FA9">
            <w:pPr>
              <w:spacing w:before="120" w:after="120" w:line="600" w:lineRule="auto"/>
              <w:jc w:val="both"/>
              <w:rPr>
                <w:b/>
                <w:bCs/>
                <w:szCs w:val="24"/>
                <w:lang w:val="en-IE"/>
              </w:rPr>
            </w:pPr>
          </w:p>
        </w:tc>
        <w:tc>
          <w:tcPr>
            <w:tcW w:w="2360" w:type="pct"/>
            <w:vAlign w:val="center"/>
          </w:tcPr>
          <w:p w14:paraId="08111B9F" w14:textId="77777777" w:rsidR="00CC7DAD" w:rsidRPr="00777D82" w:rsidRDefault="00CC7DAD" w:rsidP="002D5FA9">
            <w:pPr>
              <w:spacing w:line="600" w:lineRule="auto"/>
            </w:pPr>
            <w:r w:rsidRPr="00B02A62">
              <w:t>Your Health Today =</w:t>
            </w:r>
          </w:p>
        </w:tc>
        <w:tc>
          <w:tcPr>
            <w:tcW w:w="2360" w:type="pct"/>
            <w:vAlign w:val="center"/>
          </w:tcPr>
          <w:p w14:paraId="135D6108" w14:textId="77777777" w:rsidR="00CC7DAD" w:rsidRPr="000963D4" w:rsidDel="00DC6327" w:rsidRDefault="00CC7DAD" w:rsidP="002D5FA9">
            <w:pPr>
              <w:spacing w:before="120" w:after="120" w:line="600" w:lineRule="auto"/>
              <w:jc w:val="center"/>
              <w:rPr>
                <w:b/>
                <w:szCs w:val="24"/>
                <w:lang w:val="en-IE"/>
              </w:rPr>
            </w:pPr>
            <w:r w:rsidRPr="001B6155">
              <w:rPr>
                <w:b/>
                <w:lang w:val="en-IE"/>
              </w:rPr>
              <w:fldChar w:fldCharType="begin">
                <w:ffData>
                  <w:name w:val="Text2"/>
                  <w:enabled/>
                  <w:calcOnExit w:val="0"/>
                  <w:textInput/>
                </w:ffData>
              </w:fldChar>
            </w:r>
            <w:r w:rsidRPr="001B6155">
              <w:rPr>
                <w:b/>
                <w:lang w:val="en-IE"/>
              </w:rPr>
              <w:instrText xml:space="preserve"> FORMTEXT </w:instrText>
            </w:r>
            <w:r w:rsidRPr="001B6155">
              <w:rPr>
                <w:b/>
                <w:lang w:val="en-IE"/>
              </w:rPr>
            </w:r>
            <w:r w:rsidRPr="001B6155">
              <w:rPr>
                <w:b/>
                <w:lang w:val="en-IE"/>
              </w:rPr>
              <w:fldChar w:fldCharType="separate"/>
            </w:r>
            <w:r w:rsidR="00F006C8">
              <w:rPr>
                <w:b/>
                <w:noProof/>
                <w:lang w:val="en-IE"/>
              </w:rPr>
              <w:t> </w:t>
            </w:r>
            <w:r w:rsidR="00F006C8">
              <w:rPr>
                <w:b/>
                <w:noProof/>
                <w:lang w:val="en-IE"/>
              </w:rPr>
              <w:t> </w:t>
            </w:r>
            <w:r w:rsidR="00F006C8">
              <w:rPr>
                <w:b/>
                <w:noProof/>
                <w:lang w:val="en-IE"/>
              </w:rPr>
              <w:t> </w:t>
            </w:r>
            <w:r w:rsidR="00F006C8">
              <w:rPr>
                <w:b/>
                <w:noProof/>
                <w:lang w:val="en-IE"/>
              </w:rPr>
              <w:t> </w:t>
            </w:r>
            <w:r w:rsidR="00F006C8">
              <w:rPr>
                <w:b/>
                <w:noProof/>
                <w:lang w:val="en-IE"/>
              </w:rPr>
              <w:t> </w:t>
            </w:r>
            <w:r w:rsidRPr="001B6155">
              <w:rPr>
                <w:b/>
                <w:lang w:val="en-IE"/>
              </w:rPr>
              <w:fldChar w:fldCharType="end"/>
            </w:r>
          </w:p>
        </w:tc>
      </w:tr>
    </w:tbl>
    <w:p w14:paraId="02E6DC07" w14:textId="77777777" w:rsidR="00CC7DAD" w:rsidRDefault="00CC7DAD" w:rsidP="00AE785D">
      <w:pPr>
        <w:pStyle w:val="BodyText-parastylebold"/>
      </w:pPr>
      <w:r>
        <w:t xml:space="preserve">Counterfactual / </w:t>
      </w:r>
      <w:r w:rsidRPr="00B45F98">
        <w:t>Satisfaction</w:t>
      </w:r>
    </w:p>
    <w:tbl>
      <w:tblPr>
        <w:tblpPr w:leftFromText="180" w:rightFromText="180" w:vertAnchor="text" w:horzAnchor="margin" w:tblpX="108" w:tblpY="120"/>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20"/>
        <w:gridCol w:w="2221"/>
        <w:gridCol w:w="2220"/>
        <w:gridCol w:w="2221"/>
      </w:tblGrid>
      <w:tr w:rsidR="00CC7DAD" w:rsidRPr="00D53318" w14:paraId="2C3CAE50" w14:textId="77777777" w:rsidTr="002D5FA9">
        <w:trPr>
          <w:tblHeader/>
        </w:trPr>
        <w:tc>
          <w:tcPr>
            <w:tcW w:w="675" w:type="dxa"/>
            <w:shd w:val="clear" w:color="auto" w:fill="E0E0E0"/>
            <w:vAlign w:val="center"/>
          </w:tcPr>
          <w:p w14:paraId="6D93AFFD" w14:textId="77777777" w:rsidR="00CC7DAD" w:rsidRPr="00D53318" w:rsidRDefault="00CC7DAD" w:rsidP="00C1010B">
            <w:pPr>
              <w:pStyle w:val="QuestionHeader2"/>
              <w:numPr>
                <w:ilvl w:val="0"/>
                <w:numId w:val="48"/>
              </w:numPr>
              <w:tabs>
                <w:tab w:val="num" w:pos="574"/>
              </w:tabs>
              <w:spacing w:before="40" w:after="40" w:line="360" w:lineRule="auto"/>
              <w:rPr>
                <w:rFonts w:ascii="Arial" w:hAnsi="Arial" w:cs="Arial"/>
                <w:sz w:val="20"/>
                <w:szCs w:val="20"/>
              </w:rPr>
            </w:pPr>
          </w:p>
        </w:tc>
        <w:tc>
          <w:tcPr>
            <w:tcW w:w="8882" w:type="dxa"/>
            <w:gridSpan w:val="4"/>
            <w:shd w:val="clear" w:color="auto" w:fill="E0E0E0"/>
            <w:vAlign w:val="center"/>
          </w:tcPr>
          <w:p w14:paraId="55D37502" w14:textId="77777777" w:rsidR="00CC7DAD" w:rsidRDefault="00CC7DAD" w:rsidP="002D5FA9">
            <w:pPr>
              <w:spacing w:before="40" w:after="40" w:line="360" w:lineRule="auto"/>
              <w:jc w:val="both"/>
              <w:rPr>
                <w:b/>
              </w:rPr>
            </w:pPr>
            <w:r w:rsidRPr="00B45F98">
              <w:rPr>
                <w:b/>
                <w:lang w:val="en-IE"/>
              </w:rPr>
              <w:t>How satisfied are you with the support you have received from the project?</w:t>
            </w:r>
            <w:r w:rsidRPr="00D53318">
              <w:rPr>
                <w:i/>
              </w:rPr>
              <w:t xml:space="preserve">Tick one </w:t>
            </w:r>
          </w:p>
        </w:tc>
      </w:tr>
      <w:tr w:rsidR="00CC7DAD" w:rsidRPr="00D53318" w:rsidDel="00DC6327" w14:paraId="02129718" w14:textId="77777777" w:rsidTr="002D5FA9">
        <w:trPr>
          <w:trHeight w:val="329"/>
        </w:trPr>
        <w:tc>
          <w:tcPr>
            <w:tcW w:w="675" w:type="dxa"/>
            <w:vMerge w:val="restart"/>
            <w:vAlign w:val="center"/>
          </w:tcPr>
          <w:p w14:paraId="2EF7EBB6" w14:textId="77777777" w:rsidR="00CC7DAD" w:rsidRPr="00D53318" w:rsidRDefault="00CC7DAD" w:rsidP="002D5FA9">
            <w:pPr>
              <w:spacing w:before="40" w:after="40" w:line="360" w:lineRule="auto"/>
              <w:rPr>
                <w:b/>
                <w:bCs/>
              </w:rPr>
            </w:pPr>
          </w:p>
        </w:tc>
        <w:tc>
          <w:tcPr>
            <w:tcW w:w="2220" w:type="dxa"/>
          </w:tcPr>
          <w:p w14:paraId="781A64E1" w14:textId="77777777" w:rsidR="00CC7DAD" w:rsidRPr="00B45F98" w:rsidRDefault="00CC7DAD" w:rsidP="002D5FA9">
            <w:pPr>
              <w:spacing w:before="40" w:after="40" w:line="360" w:lineRule="auto"/>
              <w:jc w:val="center"/>
              <w:rPr>
                <w:bCs/>
                <w:lang w:val="en-IE"/>
              </w:rPr>
            </w:pPr>
            <w:r w:rsidRPr="00B45F98">
              <w:rPr>
                <w:bCs/>
                <w:lang w:val="en-IE"/>
              </w:rPr>
              <w:t>Very satisfied</w:t>
            </w:r>
          </w:p>
        </w:tc>
        <w:tc>
          <w:tcPr>
            <w:tcW w:w="2221" w:type="dxa"/>
          </w:tcPr>
          <w:p w14:paraId="279CFBAF" w14:textId="77777777" w:rsidR="00CC7DAD" w:rsidRPr="00B45F98" w:rsidRDefault="00CC7DAD" w:rsidP="002D5FA9">
            <w:pPr>
              <w:spacing w:before="40" w:after="40" w:line="360" w:lineRule="auto"/>
              <w:jc w:val="center"/>
              <w:rPr>
                <w:bCs/>
                <w:lang w:val="en-IE"/>
              </w:rPr>
            </w:pPr>
            <w:r w:rsidRPr="00B45F98">
              <w:rPr>
                <w:bCs/>
                <w:lang w:val="en-IE"/>
              </w:rPr>
              <w:t>Quite satisfied</w:t>
            </w:r>
          </w:p>
        </w:tc>
        <w:tc>
          <w:tcPr>
            <w:tcW w:w="2220" w:type="dxa"/>
          </w:tcPr>
          <w:p w14:paraId="4C702A70" w14:textId="77777777" w:rsidR="00CC7DAD" w:rsidRPr="00B45F98" w:rsidRDefault="00CC7DAD" w:rsidP="002D5FA9">
            <w:pPr>
              <w:spacing w:before="40" w:after="40" w:line="360" w:lineRule="auto"/>
              <w:jc w:val="center"/>
              <w:rPr>
                <w:bCs/>
                <w:lang w:val="en-IE"/>
              </w:rPr>
            </w:pPr>
            <w:r w:rsidRPr="00B45F98">
              <w:rPr>
                <w:bCs/>
                <w:lang w:val="en-IE"/>
              </w:rPr>
              <w:t>Satisfied</w:t>
            </w:r>
          </w:p>
        </w:tc>
        <w:tc>
          <w:tcPr>
            <w:tcW w:w="2221" w:type="dxa"/>
          </w:tcPr>
          <w:p w14:paraId="0618D791" w14:textId="77777777" w:rsidR="00CC7DAD" w:rsidRPr="00B45F98" w:rsidRDefault="00CC7DAD" w:rsidP="002D5FA9">
            <w:pPr>
              <w:spacing w:before="40" w:after="40" w:line="360" w:lineRule="auto"/>
              <w:jc w:val="center"/>
              <w:rPr>
                <w:bCs/>
                <w:lang w:val="en-IE"/>
              </w:rPr>
            </w:pPr>
            <w:r w:rsidRPr="00B45F98">
              <w:rPr>
                <w:bCs/>
                <w:lang w:val="en-IE"/>
              </w:rPr>
              <w:t>Dissatisfied</w:t>
            </w:r>
          </w:p>
        </w:tc>
      </w:tr>
      <w:tr w:rsidR="00CC7DAD" w:rsidRPr="00D53318" w:rsidDel="00DC6327" w14:paraId="25ECE81C" w14:textId="77777777" w:rsidTr="002D5FA9">
        <w:trPr>
          <w:trHeight w:val="281"/>
        </w:trPr>
        <w:tc>
          <w:tcPr>
            <w:tcW w:w="675" w:type="dxa"/>
            <w:vMerge/>
            <w:vAlign w:val="center"/>
          </w:tcPr>
          <w:p w14:paraId="1E3B16CA" w14:textId="77777777" w:rsidR="00CC7DAD" w:rsidRPr="00D53318" w:rsidRDefault="00CC7DAD" w:rsidP="002D5FA9">
            <w:pPr>
              <w:spacing w:before="40" w:after="40" w:line="360" w:lineRule="auto"/>
              <w:rPr>
                <w:b/>
                <w:bCs/>
              </w:rPr>
            </w:pPr>
          </w:p>
        </w:tc>
        <w:tc>
          <w:tcPr>
            <w:tcW w:w="2220" w:type="dxa"/>
          </w:tcPr>
          <w:p w14:paraId="5BE5F729" w14:textId="77777777" w:rsidR="00CC7DAD" w:rsidRPr="00730069" w:rsidRDefault="00CC7DAD" w:rsidP="002D5FA9">
            <w:pPr>
              <w:spacing w:before="40" w:after="40" w:line="360" w:lineRule="auto"/>
              <w:jc w:val="center"/>
              <w:rPr>
                <w:b/>
              </w:rPr>
            </w:pPr>
            <w:r w:rsidRPr="006D5187">
              <w:rPr>
                <w:b/>
                <w:szCs w:val="24"/>
                <w:lang w:val="en-IE"/>
              </w:rPr>
              <w:fldChar w:fldCharType="begin">
                <w:ffData>
                  <w:name w:val="Check1"/>
                  <w:enabled/>
                  <w:calcOnExit w:val="0"/>
                  <w:checkBox>
                    <w:sizeAuto/>
                    <w:default w:val="0"/>
                  </w:checkBox>
                </w:ffData>
              </w:fldChar>
            </w:r>
            <w:r w:rsidRPr="006D5187">
              <w:rPr>
                <w:b/>
                <w:szCs w:val="24"/>
                <w:lang w:val="en-IE"/>
              </w:rPr>
              <w:instrText xml:space="preserve"> FORMCHECKBOX </w:instrText>
            </w:r>
            <w:r w:rsidR="00160C04">
              <w:rPr>
                <w:b/>
                <w:szCs w:val="24"/>
                <w:lang w:val="en-IE"/>
              </w:rPr>
            </w:r>
            <w:r w:rsidR="00160C04">
              <w:rPr>
                <w:b/>
                <w:szCs w:val="24"/>
                <w:lang w:val="en-IE"/>
              </w:rPr>
              <w:fldChar w:fldCharType="separate"/>
            </w:r>
            <w:r w:rsidRPr="006D5187">
              <w:rPr>
                <w:b/>
                <w:szCs w:val="24"/>
                <w:lang w:val="en-IE"/>
              </w:rPr>
              <w:fldChar w:fldCharType="end"/>
            </w:r>
          </w:p>
        </w:tc>
        <w:tc>
          <w:tcPr>
            <w:tcW w:w="2221" w:type="dxa"/>
          </w:tcPr>
          <w:p w14:paraId="2047BE15" w14:textId="77777777" w:rsidR="00CC7DAD" w:rsidRPr="00730069" w:rsidRDefault="00CC7DAD" w:rsidP="002D5FA9">
            <w:pPr>
              <w:spacing w:before="40" w:after="40" w:line="360" w:lineRule="auto"/>
              <w:jc w:val="center"/>
              <w:rPr>
                <w:b/>
              </w:rPr>
            </w:pPr>
            <w:r w:rsidRPr="006D5187">
              <w:rPr>
                <w:b/>
                <w:szCs w:val="24"/>
                <w:lang w:val="en-IE"/>
              </w:rPr>
              <w:fldChar w:fldCharType="begin">
                <w:ffData>
                  <w:name w:val="Check1"/>
                  <w:enabled/>
                  <w:calcOnExit w:val="0"/>
                  <w:checkBox>
                    <w:sizeAuto/>
                    <w:default w:val="0"/>
                  </w:checkBox>
                </w:ffData>
              </w:fldChar>
            </w:r>
            <w:r w:rsidRPr="006D5187">
              <w:rPr>
                <w:b/>
                <w:szCs w:val="24"/>
                <w:lang w:val="en-IE"/>
              </w:rPr>
              <w:instrText xml:space="preserve"> FORMCHECKBOX </w:instrText>
            </w:r>
            <w:r w:rsidR="00160C04">
              <w:rPr>
                <w:b/>
                <w:szCs w:val="24"/>
                <w:lang w:val="en-IE"/>
              </w:rPr>
            </w:r>
            <w:r w:rsidR="00160C04">
              <w:rPr>
                <w:b/>
                <w:szCs w:val="24"/>
                <w:lang w:val="en-IE"/>
              </w:rPr>
              <w:fldChar w:fldCharType="separate"/>
            </w:r>
            <w:r w:rsidRPr="006D5187">
              <w:rPr>
                <w:b/>
                <w:szCs w:val="24"/>
                <w:lang w:val="en-IE"/>
              </w:rPr>
              <w:fldChar w:fldCharType="end"/>
            </w:r>
          </w:p>
        </w:tc>
        <w:tc>
          <w:tcPr>
            <w:tcW w:w="2220" w:type="dxa"/>
          </w:tcPr>
          <w:p w14:paraId="7B53EB77" w14:textId="77777777" w:rsidR="00CC7DAD" w:rsidRPr="00730069" w:rsidRDefault="00CC7DAD" w:rsidP="002D5FA9">
            <w:pPr>
              <w:spacing w:before="40" w:after="40" w:line="360" w:lineRule="auto"/>
              <w:jc w:val="center"/>
              <w:rPr>
                <w:b/>
              </w:rPr>
            </w:pPr>
            <w:r w:rsidRPr="006D5187">
              <w:rPr>
                <w:b/>
                <w:szCs w:val="24"/>
                <w:lang w:val="en-IE"/>
              </w:rPr>
              <w:fldChar w:fldCharType="begin">
                <w:ffData>
                  <w:name w:val="Check1"/>
                  <w:enabled/>
                  <w:calcOnExit w:val="0"/>
                  <w:checkBox>
                    <w:sizeAuto/>
                    <w:default w:val="0"/>
                  </w:checkBox>
                </w:ffData>
              </w:fldChar>
            </w:r>
            <w:r w:rsidRPr="006D5187">
              <w:rPr>
                <w:b/>
                <w:szCs w:val="24"/>
                <w:lang w:val="en-IE"/>
              </w:rPr>
              <w:instrText xml:space="preserve"> FORMCHECKBOX </w:instrText>
            </w:r>
            <w:r w:rsidR="00160C04">
              <w:rPr>
                <w:b/>
                <w:szCs w:val="24"/>
                <w:lang w:val="en-IE"/>
              </w:rPr>
            </w:r>
            <w:r w:rsidR="00160C04">
              <w:rPr>
                <w:b/>
                <w:szCs w:val="24"/>
                <w:lang w:val="en-IE"/>
              </w:rPr>
              <w:fldChar w:fldCharType="separate"/>
            </w:r>
            <w:r w:rsidRPr="006D5187">
              <w:rPr>
                <w:b/>
                <w:szCs w:val="24"/>
                <w:lang w:val="en-IE"/>
              </w:rPr>
              <w:fldChar w:fldCharType="end"/>
            </w:r>
          </w:p>
        </w:tc>
        <w:tc>
          <w:tcPr>
            <w:tcW w:w="2221" w:type="dxa"/>
          </w:tcPr>
          <w:p w14:paraId="5D7D2B24" w14:textId="77777777" w:rsidR="00CC7DAD" w:rsidRPr="00730069" w:rsidRDefault="00CC7DAD" w:rsidP="002D5FA9">
            <w:pPr>
              <w:spacing w:before="40" w:after="40" w:line="360" w:lineRule="auto"/>
              <w:jc w:val="center"/>
              <w:rPr>
                <w:b/>
              </w:rPr>
            </w:pPr>
            <w:r w:rsidRPr="006D5187">
              <w:rPr>
                <w:b/>
                <w:szCs w:val="24"/>
                <w:lang w:val="en-IE"/>
              </w:rPr>
              <w:fldChar w:fldCharType="begin">
                <w:ffData>
                  <w:name w:val="Check1"/>
                  <w:enabled/>
                  <w:calcOnExit w:val="0"/>
                  <w:checkBox>
                    <w:sizeAuto/>
                    <w:default w:val="0"/>
                  </w:checkBox>
                </w:ffData>
              </w:fldChar>
            </w:r>
            <w:r w:rsidRPr="006D5187">
              <w:rPr>
                <w:b/>
                <w:szCs w:val="24"/>
                <w:lang w:val="en-IE"/>
              </w:rPr>
              <w:instrText xml:space="preserve"> FORMCHECKBOX </w:instrText>
            </w:r>
            <w:r w:rsidR="00160C04">
              <w:rPr>
                <w:b/>
                <w:szCs w:val="24"/>
                <w:lang w:val="en-IE"/>
              </w:rPr>
            </w:r>
            <w:r w:rsidR="00160C04">
              <w:rPr>
                <w:b/>
                <w:szCs w:val="24"/>
                <w:lang w:val="en-IE"/>
              </w:rPr>
              <w:fldChar w:fldCharType="separate"/>
            </w:r>
            <w:r w:rsidRPr="006D5187">
              <w:rPr>
                <w:b/>
                <w:szCs w:val="24"/>
                <w:lang w:val="en-IE"/>
              </w:rPr>
              <w:fldChar w:fldCharType="end"/>
            </w:r>
          </w:p>
        </w:tc>
      </w:tr>
    </w:tbl>
    <w:p w14:paraId="0C914075" w14:textId="77777777" w:rsidR="00CC7DAD" w:rsidRDefault="00CC7DAD" w:rsidP="00CC7DA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232"/>
        <w:gridCol w:w="709"/>
        <w:gridCol w:w="993"/>
      </w:tblGrid>
      <w:tr w:rsidR="00CC7DAD" w:rsidRPr="00B37968" w14:paraId="245172BD" w14:textId="77777777" w:rsidTr="002D5FA9">
        <w:tc>
          <w:tcPr>
            <w:tcW w:w="297" w:type="pct"/>
            <w:shd w:val="clear" w:color="auto" w:fill="E6E6E6"/>
            <w:vAlign w:val="center"/>
          </w:tcPr>
          <w:p w14:paraId="3B628A84" w14:textId="77777777" w:rsidR="00CC7DAD" w:rsidRPr="00B37968" w:rsidRDefault="00CC7DAD" w:rsidP="00C1010B">
            <w:pPr>
              <w:widowControl/>
              <w:numPr>
                <w:ilvl w:val="0"/>
                <w:numId w:val="48"/>
              </w:numPr>
              <w:tabs>
                <w:tab w:val="num" w:pos="682"/>
              </w:tabs>
              <w:spacing w:before="40" w:after="40" w:line="240" w:lineRule="auto"/>
            </w:pPr>
          </w:p>
        </w:tc>
        <w:tc>
          <w:tcPr>
            <w:tcW w:w="4703" w:type="pct"/>
            <w:gridSpan w:val="3"/>
            <w:shd w:val="clear" w:color="auto" w:fill="E6E6E6"/>
            <w:vAlign w:val="center"/>
          </w:tcPr>
          <w:p w14:paraId="4E68C4C4" w14:textId="77777777" w:rsidR="00CC7DAD" w:rsidRPr="00B37968" w:rsidRDefault="00CC7DAD" w:rsidP="002D5FA9">
            <w:pPr>
              <w:spacing w:before="40" w:after="40"/>
              <w:jc w:val="both"/>
              <w:rPr>
                <w:b/>
              </w:rPr>
            </w:pPr>
            <w:r>
              <w:rPr>
                <w:b/>
              </w:rPr>
              <w:t>In the absence of the Social Prescribing project</w:t>
            </w:r>
            <w:r w:rsidRPr="00B37968">
              <w:rPr>
                <w:b/>
              </w:rPr>
              <w:t xml:space="preserve"> would you have been able to receive support from elsewhere? </w:t>
            </w:r>
            <w:r w:rsidRPr="00B37968">
              <w:rPr>
                <w:i/>
              </w:rPr>
              <w:t>Tick one</w:t>
            </w:r>
          </w:p>
        </w:tc>
      </w:tr>
      <w:tr w:rsidR="00CC7DAD" w:rsidRPr="00F76FE6" w14:paraId="2FA7D914" w14:textId="77777777" w:rsidTr="002D5FA9">
        <w:tc>
          <w:tcPr>
            <w:tcW w:w="297" w:type="pct"/>
            <w:vMerge w:val="restart"/>
            <w:vAlign w:val="center"/>
          </w:tcPr>
          <w:p w14:paraId="63AB86D6" w14:textId="77777777" w:rsidR="00CC7DAD" w:rsidRPr="00F76FE6" w:rsidRDefault="00CC7DAD" w:rsidP="002D5FA9">
            <w:pPr>
              <w:spacing w:before="40" w:after="40"/>
              <w:rPr>
                <w:b/>
                <w:bCs/>
                <w:highlight w:val="yellow"/>
              </w:rPr>
            </w:pPr>
          </w:p>
        </w:tc>
        <w:tc>
          <w:tcPr>
            <w:tcW w:w="3807" w:type="pct"/>
            <w:vAlign w:val="center"/>
          </w:tcPr>
          <w:p w14:paraId="4660B933" w14:textId="77777777" w:rsidR="00CC7DAD" w:rsidRPr="000E4C76" w:rsidDel="00DC6327" w:rsidRDefault="00CC7DAD" w:rsidP="002D5FA9">
            <w:pPr>
              <w:spacing w:before="40" w:after="40"/>
              <w:rPr>
                <w:sz w:val="18"/>
                <w:szCs w:val="18"/>
              </w:rPr>
            </w:pPr>
            <w:r w:rsidRPr="000E4C76">
              <w:rPr>
                <w:sz w:val="18"/>
                <w:szCs w:val="18"/>
              </w:rPr>
              <w:t>Would have received support, with same result</w:t>
            </w:r>
          </w:p>
        </w:tc>
        <w:tc>
          <w:tcPr>
            <w:tcW w:w="373" w:type="pct"/>
            <w:vAlign w:val="center"/>
          </w:tcPr>
          <w:p w14:paraId="07ADC43B"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304DB1B9" w14:textId="77777777" w:rsidR="00CC7DAD" w:rsidRPr="000E4C76" w:rsidRDefault="00CC7DAD" w:rsidP="002D5FA9">
            <w:pPr>
              <w:rPr>
                <w:b/>
              </w:rPr>
            </w:pPr>
            <w:r w:rsidRPr="000E4C76">
              <w:rPr>
                <w:b/>
                <w:sz w:val="16"/>
                <w:szCs w:val="16"/>
              </w:rPr>
              <w:t>Go to Q</w:t>
            </w:r>
            <w:r>
              <w:rPr>
                <w:b/>
                <w:sz w:val="16"/>
                <w:szCs w:val="16"/>
              </w:rPr>
              <w:t>20</w:t>
            </w:r>
          </w:p>
        </w:tc>
      </w:tr>
      <w:tr w:rsidR="00CC7DAD" w:rsidRPr="00F76FE6" w14:paraId="4B50E1F7" w14:textId="77777777" w:rsidTr="002D5FA9">
        <w:tc>
          <w:tcPr>
            <w:tcW w:w="297" w:type="pct"/>
            <w:vMerge/>
            <w:vAlign w:val="center"/>
          </w:tcPr>
          <w:p w14:paraId="553FAA0F" w14:textId="77777777" w:rsidR="00CC7DAD" w:rsidRPr="00F76FE6" w:rsidRDefault="00CC7DAD" w:rsidP="002D5FA9">
            <w:pPr>
              <w:spacing w:before="40" w:after="40"/>
              <w:rPr>
                <w:b/>
                <w:bCs/>
                <w:highlight w:val="yellow"/>
              </w:rPr>
            </w:pPr>
          </w:p>
        </w:tc>
        <w:tc>
          <w:tcPr>
            <w:tcW w:w="3807" w:type="pct"/>
            <w:vAlign w:val="center"/>
          </w:tcPr>
          <w:p w14:paraId="066BDA78" w14:textId="77777777" w:rsidR="00CC7DAD" w:rsidRPr="000E4C76" w:rsidDel="00DC6327" w:rsidRDefault="00CC7DAD" w:rsidP="002D5FA9">
            <w:pPr>
              <w:spacing w:before="40" w:after="40"/>
              <w:rPr>
                <w:sz w:val="18"/>
                <w:szCs w:val="18"/>
              </w:rPr>
            </w:pPr>
            <w:r w:rsidRPr="000E4C76">
              <w:rPr>
                <w:sz w:val="18"/>
                <w:szCs w:val="18"/>
              </w:rPr>
              <w:t xml:space="preserve">Would have received support, but </w:t>
            </w:r>
            <w:r>
              <w:rPr>
                <w:sz w:val="18"/>
                <w:szCs w:val="18"/>
              </w:rPr>
              <w:t>would have taken longer to receive</w:t>
            </w:r>
          </w:p>
        </w:tc>
        <w:tc>
          <w:tcPr>
            <w:tcW w:w="373" w:type="pct"/>
            <w:vAlign w:val="center"/>
          </w:tcPr>
          <w:p w14:paraId="72A8D8F9"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5298CF2D" w14:textId="77777777" w:rsidR="00CC7DAD" w:rsidRPr="000E4C76" w:rsidRDefault="00CC7DAD" w:rsidP="002D5FA9">
            <w:pPr>
              <w:rPr>
                <w:b/>
              </w:rPr>
            </w:pPr>
            <w:r w:rsidRPr="00FD3255">
              <w:rPr>
                <w:b/>
                <w:sz w:val="16"/>
                <w:szCs w:val="16"/>
              </w:rPr>
              <w:t>Go to Q20</w:t>
            </w:r>
          </w:p>
        </w:tc>
      </w:tr>
      <w:tr w:rsidR="00CC7DAD" w:rsidRPr="00F76FE6" w14:paraId="1EB52DE5" w14:textId="77777777" w:rsidTr="002D5FA9">
        <w:tc>
          <w:tcPr>
            <w:tcW w:w="297" w:type="pct"/>
            <w:vMerge/>
            <w:vAlign w:val="center"/>
          </w:tcPr>
          <w:p w14:paraId="78F99ACB" w14:textId="77777777" w:rsidR="00CC7DAD" w:rsidRPr="00F76FE6" w:rsidRDefault="00CC7DAD" w:rsidP="002D5FA9">
            <w:pPr>
              <w:spacing w:before="40" w:after="40"/>
              <w:rPr>
                <w:b/>
                <w:bCs/>
                <w:highlight w:val="yellow"/>
              </w:rPr>
            </w:pPr>
          </w:p>
        </w:tc>
        <w:tc>
          <w:tcPr>
            <w:tcW w:w="3807" w:type="pct"/>
            <w:vAlign w:val="center"/>
          </w:tcPr>
          <w:p w14:paraId="1AB44453" w14:textId="77777777" w:rsidR="00CC7DAD" w:rsidRPr="000E4C76" w:rsidDel="00DC6327" w:rsidRDefault="00CC7DAD" w:rsidP="002D5FA9">
            <w:pPr>
              <w:spacing w:before="40" w:after="40"/>
              <w:rPr>
                <w:sz w:val="18"/>
                <w:szCs w:val="18"/>
              </w:rPr>
            </w:pPr>
            <w:r w:rsidRPr="000E4C76">
              <w:rPr>
                <w:sz w:val="18"/>
                <w:szCs w:val="18"/>
              </w:rPr>
              <w:t xml:space="preserve">Would have received support, but </w:t>
            </w:r>
            <w:r>
              <w:rPr>
                <w:sz w:val="18"/>
                <w:szCs w:val="18"/>
              </w:rPr>
              <w:t>not as much</w:t>
            </w:r>
          </w:p>
        </w:tc>
        <w:tc>
          <w:tcPr>
            <w:tcW w:w="373" w:type="pct"/>
            <w:vAlign w:val="center"/>
          </w:tcPr>
          <w:p w14:paraId="10ADF142"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7C0D20ED" w14:textId="77777777" w:rsidR="00CC7DAD" w:rsidRPr="000E4C76" w:rsidRDefault="00CC7DAD" w:rsidP="002D5FA9">
            <w:pPr>
              <w:rPr>
                <w:b/>
              </w:rPr>
            </w:pPr>
            <w:r w:rsidRPr="00FD3255">
              <w:rPr>
                <w:b/>
                <w:sz w:val="16"/>
                <w:szCs w:val="16"/>
              </w:rPr>
              <w:t>Go to Q20</w:t>
            </w:r>
          </w:p>
        </w:tc>
      </w:tr>
      <w:tr w:rsidR="00CC7DAD" w:rsidRPr="00F76FE6" w14:paraId="44CF67AF" w14:textId="77777777" w:rsidTr="002D5FA9">
        <w:tc>
          <w:tcPr>
            <w:tcW w:w="297" w:type="pct"/>
            <w:vMerge/>
            <w:vAlign w:val="center"/>
          </w:tcPr>
          <w:p w14:paraId="27AE5F2B" w14:textId="77777777" w:rsidR="00CC7DAD" w:rsidRPr="00F76FE6" w:rsidRDefault="00CC7DAD" w:rsidP="002D5FA9">
            <w:pPr>
              <w:spacing w:before="40" w:after="40"/>
              <w:rPr>
                <w:b/>
                <w:bCs/>
                <w:highlight w:val="yellow"/>
              </w:rPr>
            </w:pPr>
          </w:p>
        </w:tc>
        <w:tc>
          <w:tcPr>
            <w:tcW w:w="3807" w:type="pct"/>
            <w:vAlign w:val="center"/>
          </w:tcPr>
          <w:p w14:paraId="6785B834" w14:textId="77777777" w:rsidR="00CC7DAD" w:rsidRPr="000E4C76" w:rsidDel="00DC6327" w:rsidRDefault="00CC7DAD" w:rsidP="002D5FA9">
            <w:pPr>
              <w:spacing w:before="40" w:after="40"/>
              <w:rPr>
                <w:sz w:val="18"/>
                <w:szCs w:val="18"/>
              </w:rPr>
            </w:pPr>
            <w:r w:rsidRPr="000E4C76">
              <w:rPr>
                <w:sz w:val="18"/>
                <w:szCs w:val="18"/>
              </w:rPr>
              <w:t xml:space="preserve">Would have received support, but </w:t>
            </w:r>
            <w:r>
              <w:rPr>
                <w:sz w:val="18"/>
                <w:szCs w:val="18"/>
              </w:rPr>
              <w:t>would have taken longer</w:t>
            </w:r>
            <w:r w:rsidRPr="000E4C76">
              <w:rPr>
                <w:sz w:val="18"/>
                <w:szCs w:val="18"/>
              </w:rPr>
              <w:t xml:space="preserve"> and </w:t>
            </w:r>
            <w:r>
              <w:rPr>
                <w:sz w:val="18"/>
                <w:szCs w:val="18"/>
              </w:rPr>
              <w:t>would not have received as much support</w:t>
            </w:r>
          </w:p>
        </w:tc>
        <w:tc>
          <w:tcPr>
            <w:tcW w:w="373" w:type="pct"/>
            <w:vAlign w:val="center"/>
          </w:tcPr>
          <w:p w14:paraId="0FF89CF4"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4FA9EBFF" w14:textId="77777777" w:rsidR="00CC7DAD" w:rsidRPr="000E4C76" w:rsidRDefault="00CC7DAD" w:rsidP="002D5FA9">
            <w:pPr>
              <w:rPr>
                <w:b/>
              </w:rPr>
            </w:pPr>
            <w:r w:rsidRPr="00FD3255">
              <w:rPr>
                <w:b/>
                <w:sz w:val="16"/>
                <w:szCs w:val="16"/>
              </w:rPr>
              <w:t>Go to Q20</w:t>
            </w:r>
          </w:p>
        </w:tc>
      </w:tr>
      <w:tr w:rsidR="00CC7DAD" w:rsidRPr="00F76FE6" w14:paraId="3CA492C1" w14:textId="77777777" w:rsidTr="002D5FA9">
        <w:tc>
          <w:tcPr>
            <w:tcW w:w="297" w:type="pct"/>
            <w:vMerge/>
            <w:vAlign w:val="center"/>
          </w:tcPr>
          <w:p w14:paraId="63C97A71" w14:textId="77777777" w:rsidR="00CC7DAD" w:rsidRPr="00F76FE6" w:rsidRDefault="00CC7DAD" w:rsidP="002D5FA9">
            <w:pPr>
              <w:spacing w:before="40" w:after="40"/>
              <w:rPr>
                <w:b/>
                <w:bCs/>
                <w:highlight w:val="yellow"/>
              </w:rPr>
            </w:pPr>
          </w:p>
        </w:tc>
        <w:tc>
          <w:tcPr>
            <w:tcW w:w="3807" w:type="pct"/>
            <w:vAlign w:val="center"/>
          </w:tcPr>
          <w:p w14:paraId="436B2109" w14:textId="77777777" w:rsidR="00CC7DAD" w:rsidRPr="000E4C76" w:rsidDel="00DC6327" w:rsidRDefault="00CC7DAD" w:rsidP="002D5FA9">
            <w:pPr>
              <w:spacing w:before="40" w:after="40"/>
              <w:rPr>
                <w:sz w:val="18"/>
                <w:szCs w:val="18"/>
              </w:rPr>
            </w:pPr>
            <w:r w:rsidRPr="000E4C76">
              <w:rPr>
                <w:sz w:val="18"/>
                <w:szCs w:val="18"/>
              </w:rPr>
              <w:t>Probably would not have received support</w:t>
            </w:r>
          </w:p>
        </w:tc>
        <w:tc>
          <w:tcPr>
            <w:tcW w:w="373" w:type="pct"/>
            <w:vAlign w:val="center"/>
          </w:tcPr>
          <w:p w14:paraId="7FDF23E4"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2E70E8ED" w14:textId="77777777" w:rsidR="00CC7DAD" w:rsidRPr="000E4C76" w:rsidRDefault="00CC7DAD" w:rsidP="002D5FA9">
            <w:pPr>
              <w:rPr>
                <w:b/>
              </w:rPr>
            </w:pPr>
            <w:r w:rsidRPr="000E4C76">
              <w:rPr>
                <w:b/>
                <w:sz w:val="16"/>
                <w:szCs w:val="16"/>
              </w:rPr>
              <w:t>Go to Q</w:t>
            </w:r>
            <w:r>
              <w:rPr>
                <w:b/>
                <w:sz w:val="16"/>
                <w:szCs w:val="16"/>
              </w:rPr>
              <w:t>21</w:t>
            </w:r>
          </w:p>
        </w:tc>
      </w:tr>
      <w:tr w:rsidR="00CC7DAD" w:rsidRPr="00F76FE6" w14:paraId="3E82EC25" w14:textId="77777777" w:rsidTr="002D5FA9">
        <w:tc>
          <w:tcPr>
            <w:tcW w:w="297" w:type="pct"/>
            <w:vMerge/>
            <w:vAlign w:val="center"/>
          </w:tcPr>
          <w:p w14:paraId="109EDAF8" w14:textId="77777777" w:rsidR="00CC7DAD" w:rsidRPr="00F76FE6" w:rsidRDefault="00CC7DAD" w:rsidP="002D5FA9">
            <w:pPr>
              <w:spacing w:before="40" w:after="40"/>
              <w:rPr>
                <w:b/>
                <w:bCs/>
                <w:highlight w:val="yellow"/>
              </w:rPr>
            </w:pPr>
          </w:p>
        </w:tc>
        <w:tc>
          <w:tcPr>
            <w:tcW w:w="3807" w:type="pct"/>
            <w:vAlign w:val="center"/>
          </w:tcPr>
          <w:p w14:paraId="3943224D" w14:textId="77777777" w:rsidR="00CC7DAD" w:rsidRPr="000E4C76" w:rsidDel="00DC6327" w:rsidRDefault="00CC7DAD" w:rsidP="002D5FA9">
            <w:pPr>
              <w:spacing w:before="40" w:after="40"/>
              <w:rPr>
                <w:sz w:val="18"/>
                <w:szCs w:val="18"/>
              </w:rPr>
            </w:pPr>
            <w:r w:rsidRPr="000E4C76">
              <w:rPr>
                <w:sz w:val="18"/>
                <w:szCs w:val="18"/>
              </w:rPr>
              <w:t>Definitely would have not received support</w:t>
            </w:r>
          </w:p>
        </w:tc>
        <w:tc>
          <w:tcPr>
            <w:tcW w:w="373" w:type="pct"/>
            <w:vAlign w:val="center"/>
          </w:tcPr>
          <w:p w14:paraId="5F87C561"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76ABF92B" w14:textId="77777777" w:rsidR="00CC7DAD" w:rsidRPr="000E4C76" w:rsidRDefault="00CC7DAD" w:rsidP="002D5FA9">
            <w:pPr>
              <w:rPr>
                <w:b/>
              </w:rPr>
            </w:pPr>
            <w:r w:rsidRPr="00ED5695">
              <w:rPr>
                <w:b/>
                <w:sz w:val="16"/>
                <w:szCs w:val="16"/>
              </w:rPr>
              <w:t>Go to Q21</w:t>
            </w:r>
          </w:p>
        </w:tc>
      </w:tr>
      <w:tr w:rsidR="00CC7DAD" w:rsidRPr="00F76FE6" w14:paraId="7619B74F" w14:textId="77777777" w:rsidTr="002D5FA9">
        <w:tc>
          <w:tcPr>
            <w:tcW w:w="297" w:type="pct"/>
            <w:vMerge/>
            <w:vAlign w:val="center"/>
          </w:tcPr>
          <w:p w14:paraId="3FAA154B" w14:textId="77777777" w:rsidR="00CC7DAD" w:rsidRPr="00F76FE6" w:rsidRDefault="00CC7DAD" w:rsidP="002D5FA9">
            <w:pPr>
              <w:spacing w:before="40" w:after="40"/>
              <w:rPr>
                <w:b/>
                <w:bCs/>
                <w:highlight w:val="yellow"/>
              </w:rPr>
            </w:pPr>
          </w:p>
        </w:tc>
        <w:tc>
          <w:tcPr>
            <w:tcW w:w="3807" w:type="pct"/>
            <w:vAlign w:val="center"/>
          </w:tcPr>
          <w:p w14:paraId="7AFFAD84" w14:textId="77777777" w:rsidR="00CC7DAD" w:rsidRPr="000E4C76" w:rsidRDefault="00CC7DAD" w:rsidP="002D5FA9">
            <w:pPr>
              <w:spacing w:before="40" w:after="40"/>
              <w:rPr>
                <w:sz w:val="18"/>
                <w:szCs w:val="18"/>
              </w:rPr>
            </w:pPr>
            <w:r w:rsidRPr="000E4C76">
              <w:rPr>
                <w:sz w:val="18"/>
                <w:szCs w:val="18"/>
              </w:rPr>
              <w:t>Other*</w:t>
            </w:r>
          </w:p>
        </w:tc>
        <w:tc>
          <w:tcPr>
            <w:tcW w:w="373" w:type="pct"/>
            <w:vAlign w:val="center"/>
          </w:tcPr>
          <w:p w14:paraId="3DB0A7E6" w14:textId="77777777" w:rsidR="00CC7DAD" w:rsidRPr="000E4C76" w:rsidRDefault="00CC7DAD" w:rsidP="002D5FA9">
            <w:pPr>
              <w:spacing w:before="40" w:after="40"/>
              <w:jc w:val="center"/>
              <w:rPr>
                <w:b/>
              </w:rPr>
            </w:pPr>
            <w:r w:rsidRPr="000E4C76">
              <w:rPr>
                <w:b/>
              </w:rPr>
              <w:fldChar w:fldCharType="begin">
                <w:ffData>
                  <w:name w:val="Check2"/>
                  <w:enabled/>
                  <w:calcOnExit w:val="0"/>
                  <w:checkBox>
                    <w:sizeAuto/>
                    <w:default w:val="0"/>
                  </w:checkBox>
                </w:ffData>
              </w:fldChar>
            </w:r>
            <w:r w:rsidRPr="000E4C76">
              <w:rPr>
                <w:b/>
              </w:rPr>
              <w:instrText xml:space="preserve"> FORMCHECKBOX </w:instrText>
            </w:r>
            <w:r w:rsidR="00160C04">
              <w:rPr>
                <w:b/>
              </w:rPr>
            </w:r>
            <w:r w:rsidR="00160C04">
              <w:rPr>
                <w:b/>
              </w:rPr>
              <w:fldChar w:fldCharType="separate"/>
            </w:r>
            <w:r w:rsidRPr="000E4C76">
              <w:rPr>
                <w:b/>
              </w:rPr>
              <w:fldChar w:fldCharType="end"/>
            </w:r>
          </w:p>
        </w:tc>
        <w:tc>
          <w:tcPr>
            <w:tcW w:w="523" w:type="pct"/>
          </w:tcPr>
          <w:p w14:paraId="3D2601A4" w14:textId="77777777" w:rsidR="00CC7DAD" w:rsidRPr="000E4C76" w:rsidRDefault="00CC7DAD" w:rsidP="002D5FA9">
            <w:pPr>
              <w:rPr>
                <w:b/>
              </w:rPr>
            </w:pPr>
            <w:r w:rsidRPr="00ED5695">
              <w:rPr>
                <w:b/>
                <w:sz w:val="16"/>
                <w:szCs w:val="16"/>
              </w:rPr>
              <w:t>Go to Q2</w:t>
            </w:r>
            <w:r>
              <w:rPr>
                <w:b/>
                <w:sz w:val="16"/>
                <w:szCs w:val="16"/>
              </w:rPr>
              <w:t>0</w:t>
            </w:r>
          </w:p>
        </w:tc>
      </w:tr>
      <w:tr w:rsidR="00CC7DAD" w:rsidRPr="00F76FE6" w14:paraId="035B2CAE" w14:textId="77777777" w:rsidTr="002D5FA9">
        <w:tc>
          <w:tcPr>
            <w:tcW w:w="297" w:type="pct"/>
            <w:vMerge/>
            <w:vAlign w:val="center"/>
          </w:tcPr>
          <w:p w14:paraId="539A3D85" w14:textId="77777777" w:rsidR="00CC7DAD" w:rsidRPr="00F76FE6" w:rsidRDefault="00CC7DAD" w:rsidP="002D5FA9">
            <w:pPr>
              <w:spacing w:before="40" w:after="40"/>
              <w:rPr>
                <w:b/>
                <w:bCs/>
                <w:highlight w:val="yellow"/>
              </w:rPr>
            </w:pPr>
          </w:p>
        </w:tc>
        <w:tc>
          <w:tcPr>
            <w:tcW w:w="4703" w:type="pct"/>
            <w:gridSpan w:val="3"/>
            <w:vAlign w:val="center"/>
          </w:tcPr>
          <w:p w14:paraId="5F36FFD7" w14:textId="77777777" w:rsidR="00CC7DAD" w:rsidRDefault="00CC7DAD" w:rsidP="002D5FA9">
            <w:pPr>
              <w:spacing w:before="40" w:after="40"/>
              <w:rPr>
                <w:sz w:val="18"/>
                <w:szCs w:val="18"/>
              </w:rPr>
            </w:pPr>
            <w:r w:rsidRPr="00B37968">
              <w:rPr>
                <w:rFonts w:ascii="Arial Narrow" w:hAnsi="Arial Narrow"/>
                <w:sz w:val="18"/>
                <w:szCs w:val="18"/>
              </w:rPr>
              <w:t>*</w:t>
            </w:r>
            <w:r w:rsidRPr="00B37968">
              <w:rPr>
                <w:sz w:val="18"/>
                <w:szCs w:val="18"/>
              </w:rPr>
              <w:t xml:space="preserve">Other (please specify): </w:t>
            </w:r>
            <w:r w:rsidRPr="00B37968">
              <w:rPr>
                <w:sz w:val="18"/>
                <w:szCs w:val="18"/>
              </w:rPr>
              <w:fldChar w:fldCharType="begin">
                <w:ffData>
                  <w:name w:val="Text2"/>
                  <w:enabled/>
                  <w:calcOnExit w:val="0"/>
                  <w:textInput/>
                </w:ffData>
              </w:fldChar>
            </w:r>
            <w:r w:rsidRPr="00B37968">
              <w:rPr>
                <w:sz w:val="18"/>
                <w:szCs w:val="18"/>
              </w:rPr>
              <w:instrText xml:space="preserve"> FORMTEXT </w:instrText>
            </w:r>
            <w:r w:rsidRPr="00B37968">
              <w:rPr>
                <w:sz w:val="18"/>
                <w:szCs w:val="18"/>
              </w:rPr>
            </w:r>
            <w:r w:rsidRPr="00B37968">
              <w:rPr>
                <w:sz w:val="18"/>
                <w:szCs w:val="18"/>
              </w:rPr>
              <w:fldChar w:fldCharType="separate"/>
            </w:r>
            <w:r w:rsidR="00F006C8">
              <w:rPr>
                <w:noProof/>
                <w:sz w:val="18"/>
                <w:szCs w:val="18"/>
              </w:rPr>
              <w:t> </w:t>
            </w:r>
            <w:r w:rsidR="00F006C8">
              <w:rPr>
                <w:noProof/>
                <w:sz w:val="18"/>
                <w:szCs w:val="18"/>
              </w:rPr>
              <w:t> </w:t>
            </w:r>
            <w:r w:rsidR="00F006C8">
              <w:rPr>
                <w:noProof/>
                <w:sz w:val="18"/>
                <w:szCs w:val="18"/>
              </w:rPr>
              <w:t> </w:t>
            </w:r>
            <w:r w:rsidR="00F006C8">
              <w:rPr>
                <w:noProof/>
                <w:sz w:val="18"/>
                <w:szCs w:val="18"/>
              </w:rPr>
              <w:t> </w:t>
            </w:r>
            <w:r w:rsidR="00F006C8">
              <w:rPr>
                <w:noProof/>
                <w:sz w:val="18"/>
                <w:szCs w:val="18"/>
              </w:rPr>
              <w:t> </w:t>
            </w:r>
            <w:r w:rsidRPr="00B37968">
              <w:rPr>
                <w:sz w:val="18"/>
                <w:szCs w:val="18"/>
              </w:rPr>
              <w:fldChar w:fldCharType="end"/>
            </w:r>
          </w:p>
          <w:p w14:paraId="5C01C3DB" w14:textId="77777777" w:rsidR="00CC7DAD" w:rsidRDefault="00CC7DAD" w:rsidP="002D5FA9">
            <w:pPr>
              <w:spacing w:before="40" w:after="40"/>
              <w:rPr>
                <w:sz w:val="18"/>
                <w:szCs w:val="18"/>
              </w:rPr>
            </w:pPr>
          </w:p>
          <w:p w14:paraId="4AC37FDA" w14:textId="77777777" w:rsidR="00CC7DAD" w:rsidRDefault="00CC7DAD" w:rsidP="002D5FA9">
            <w:pPr>
              <w:spacing w:before="40" w:after="40"/>
              <w:rPr>
                <w:sz w:val="18"/>
                <w:szCs w:val="18"/>
              </w:rPr>
            </w:pPr>
          </w:p>
          <w:p w14:paraId="490C9920" w14:textId="77777777" w:rsidR="00CC7DAD" w:rsidRPr="00F76FE6" w:rsidRDefault="00CC7DAD" w:rsidP="002D5FA9">
            <w:pPr>
              <w:spacing w:before="40" w:after="40"/>
              <w:rPr>
                <w:b/>
                <w:sz w:val="16"/>
                <w:szCs w:val="16"/>
                <w:highlight w:val="yellow"/>
              </w:rPr>
            </w:pPr>
          </w:p>
        </w:tc>
      </w:tr>
    </w:tbl>
    <w:p w14:paraId="5BCDD0B2" w14:textId="77777777" w:rsidR="00CC7DAD" w:rsidRDefault="00CC7DAD" w:rsidP="00CC7DAD"/>
    <w:p w14:paraId="01CC336E" w14:textId="77777777" w:rsidR="00CC7DAD" w:rsidRDefault="00CC7DAD" w:rsidP="00CC7DAD"/>
    <w:p w14:paraId="11DDB29E" w14:textId="77777777" w:rsidR="00CC7DAD" w:rsidRDefault="00CC7DAD" w:rsidP="00CC7DAD"/>
    <w:p w14:paraId="011A1EF6" w14:textId="77777777" w:rsidR="00CC7DAD" w:rsidRDefault="00CC7DAD" w:rsidP="00CC7DA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60"/>
      </w:tblGrid>
      <w:tr w:rsidR="00CC7DAD" w:rsidRPr="00B45F98" w14:paraId="5D237036" w14:textId="77777777" w:rsidTr="002D5FA9">
        <w:trPr>
          <w:trHeight w:val="296"/>
        </w:trPr>
        <w:tc>
          <w:tcPr>
            <w:tcW w:w="283" w:type="pct"/>
            <w:shd w:val="clear" w:color="auto" w:fill="E0E0E0"/>
            <w:vAlign w:val="center"/>
          </w:tcPr>
          <w:p w14:paraId="62227964" w14:textId="77777777" w:rsidR="00CC7DAD" w:rsidRPr="00B45F98" w:rsidRDefault="00CC7DAD" w:rsidP="00634596">
            <w:pPr>
              <w:pStyle w:val="BodyText-parastyle"/>
              <w:numPr>
                <w:ilvl w:val="0"/>
                <w:numId w:val="48"/>
              </w:numPr>
            </w:pPr>
          </w:p>
        </w:tc>
        <w:tc>
          <w:tcPr>
            <w:tcW w:w="4717" w:type="pct"/>
            <w:tcBorders>
              <w:bottom w:val="single" w:sz="4" w:space="0" w:color="auto"/>
            </w:tcBorders>
            <w:shd w:val="clear" w:color="auto" w:fill="E0E0E0"/>
            <w:vAlign w:val="center"/>
          </w:tcPr>
          <w:p w14:paraId="5F97C9BE" w14:textId="77777777" w:rsidR="00CC7DAD" w:rsidRPr="00B45F98" w:rsidRDefault="00CC7DAD" w:rsidP="00AE785D">
            <w:pPr>
              <w:pStyle w:val="BodyText-parastyle"/>
            </w:pPr>
            <w:r w:rsidRPr="00E1579D">
              <w:rPr>
                <w:rFonts w:eastAsiaTheme="minorHAnsi"/>
              </w:rPr>
              <w:t xml:space="preserve">If the </w:t>
            </w:r>
            <w:r>
              <w:rPr>
                <w:rFonts w:eastAsiaTheme="minorHAnsi"/>
              </w:rPr>
              <w:t>Social Prescribing Project</w:t>
            </w:r>
            <w:r w:rsidRPr="00E1579D">
              <w:rPr>
                <w:rFonts w:eastAsiaTheme="minorHAnsi"/>
              </w:rPr>
              <w:t xml:space="preserve"> had not been available how would you have received support?  Include details of where s</w:t>
            </w:r>
            <w:r>
              <w:rPr>
                <w:rFonts w:eastAsiaTheme="minorHAnsi"/>
              </w:rPr>
              <w:t>upport would have been accessed</w:t>
            </w:r>
          </w:p>
        </w:tc>
      </w:tr>
      <w:tr w:rsidR="00CC7DAD" w:rsidRPr="00B45F98" w:rsidDel="00DC6327" w14:paraId="4AA66911" w14:textId="77777777" w:rsidTr="002D5FA9">
        <w:tc>
          <w:tcPr>
            <w:tcW w:w="283" w:type="pct"/>
            <w:vAlign w:val="center"/>
          </w:tcPr>
          <w:p w14:paraId="3394C0ED" w14:textId="77777777" w:rsidR="00CC7DAD" w:rsidRPr="00B45F98" w:rsidRDefault="00CC7DAD" w:rsidP="00AE785D">
            <w:pPr>
              <w:pStyle w:val="BodyText-parastyle"/>
            </w:pPr>
          </w:p>
        </w:tc>
        <w:tc>
          <w:tcPr>
            <w:tcW w:w="4717" w:type="pct"/>
            <w:vAlign w:val="center"/>
          </w:tcPr>
          <w:p w14:paraId="6CBA20DB" w14:textId="77777777" w:rsidR="00CC7DAD" w:rsidRPr="00B45F98" w:rsidRDefault="00CC7DAD" w:rsidP="00AE785D">
            <w:pPr>
              <w:pStyle w:val="BodyText-parastyle"/>
            </w:pPr>
          </w:p>
          <w:p w14:paraId="3B8B6CD1" w14:textId="77777777" w:rsidR="00CC7DAD" w:rsidRPr="00B45F98" w:rsidRDefault="00CC7DAD" w:rsidP="00AE785D">
            <w:pPr>
              <w:pStyle w:val="BodyText-parastyle"/>
            </w:pPr>
          </w:p>
          <w:p w14:paraId="6EDA601F" w14:textId="77777777" w:rsidR="00CC7DAD" w:rsidRPr="00B45F98" w:rsidDel="00DC6327" w:rsidRDefault="00CC7DAD" w:rsidP="00AE785D">
            <w:pPr>
              <w:pStyle w:val="BodyText-parastyle"/>
            </w:pPr>
          </w:p>
        </w:tc>
      </w:tr>
    </w:tbl>
    <w:p w14:paraId="6D1988EA" w14:textId="77777777" w:rsidR="00CC7DAD" w:rsidRPr="00B45F98" w:rsidRDefault="00CC7DAD" w:rsidP="00CC7DA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60"/>
      </w:tblGrid>
      <w:tr w:rsidR="00CC7DAD" w:rsidRPr="00B45F98" w14:paraId="54410CBE" w14:textId="77777777" w:rsidTr="002D5FA9">
        <w:trPr>
          <w:trHeight w:val="296"/>
        </w:trPr>
        <w:tc>
          <w:tcPr>
            <w:tcW w:w="283" w:type="pct"/>
            <w:shd w:val="clear" w:color="auto" w:fill="E0E0E0"/>
            <w:vAlign w:val="center"/>
          </w:tcPr>
          <w:p w14:paraId="07A66DC0" w14:textId="77777777" w:rsidR="00CC7DAD" w:rsidRPr="00B45F98" w:rsidRDefault="00CC7DAD" w:rsidP="00634596">
            <w:pPr>
              <w:pStyle w:val="BodyText-parastyle"/>
              <w:numPr>
                <w:ilvl w:val="0"/>
                <w:numId w:val="48"/>
              </w:numPr>
            </w:pPr>
          </w:p>
        </w:tc>
        <w:tc>
          <w:tcPr>
            <w:tcW w:w="4717" w:type="pct"/>
            <w:tcBorders>
              <w:bottom w:val="single" w:sz="4" w:space="0" w:color="auto"/>
            </w:tcBorders>
            <w:shd w:val="clear" w:color="auto" w:fill="E0E0E0"/>
            <w:vAlign w:val="center"/>
          </w:tcPr>
          <w:p w14:paraId="16CD123B" w14:textId="77777777" w:rsidR="00CC7DAD" w:rsidRPr="00B45F98" w:rsidRDefault="00CC7DAD" w:rsidP="00AE785D">
            <w:pPr>
              <w:pStyle w:val="BodyText-parastyle"/>
            </w:pPr>
            <w:r w:rsidRPr="00B45F98">
              <w:rPr>
                <w:rFonts w:eastAsiaTheme="minorHAnsi"/>
              </w:rPr>
              <w:t>What elements of the project have worked well / best for you?</w:t>
            </w:r>
          </w:p>
        </w:tc>
      </w:tr>
      <w:tr w:rsidR="00CC7DAD" w:rsidRPr="00B45F98" w:rsidDel="00DC6327" w14:paraId="34CAEFE9" w14:textId="77777777" w:rsidTr="002D5FA9">
        <w:tc>
          <w:tcPr>
            <w:tcW w:w="283" w:type="pct"/>
            <w:vAlign w:val="center"/>
          </w:tcPr>
          <w:p w14:paraId="5E92AE69" w14:textId="77777777" w:rsidR="00CC7DAD" w:rsidRPr="00B45F98" w:rsidRDefault="00CC7DAD" w:rsidP="00AE785D">
            <w:pPr>
              <w:pStyle w:val="BodyText-parastyle"/>
            </w:pPr>
          </w:p>
        </w:tc>
        <w:tc>
          <w:tcPr>
            <w:tcW w:w="4717" w:type="pct"/>
            <w:vAlign w:val="center"/>
          </w:tcPr>
          <w:p w14:paraId="3C39E6BC" w14:textId="77777777" w:rsidR="00CC7DAD" w:rsidRPr="00B45F98" w:rsidRDefault="00CC7DAD" w:rsidP="00AE785D">
            <w:pPr>
              <w:pStyle w:val="BodyText-parastyle"/>
            </w:pPr>
          </w:p>
          <w:p w14:paraId="1455860D" w14:textId="77777777" w:rsidR="00CC7DAD" w:rsidRPr="00B45F98" w:rsidRDefault="00CC7DAD" w:rsidP="00AE785D">
            <w:pPr>
              <w:pStyle w:val="BodyText-parastyle"/>
            </w:pPr>
          </w:p>
          <w:p w14:paraId="30046CB4" w14:textId="77777777" w:rsidR="00CC7DAD" w:rsidRPr="00B45F98" w:rsidDel="00DC6327" w:rsidRDefault="00CC7DAD" w:rsidP="00AE785D">
            <w:pPr>
              <w:pStyle w:val="BodyText-parastyle"/>
            </w:pPr>
          </w:p>
        </w:tc>
      </w:tr>
    </w:tbl>
    <w:p w14:paraId="68629229" w14:textId="77777777" w:rsidR="00CC7DAD" w:rsidRPr="00B45F98"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60"/>
      </w:tblGrid>
      <w:tr w:rsidR="00CC7DAD" w:rsidRPr="00B45F98" w14:paraId="277CD2A1" w14:textId="77777777" w:rsidTr="002D5FA9">
        <w:trPr>
          <w:trHeight w:val="296"/>
        </w:trPr>
        <w:tc>
          <w:tcPr>
            <w:tcW w:w="283" w:type="pct"/>
            <w:shd w:val="clear" w:color="auto" w:fill="E0E0E0"/>
            <w:vAlign w:val="center"/>
          </w:tcPr>
          <w:p w14:paraId="288E2AE7" w14:textId="77777777" w:rsidR="00CC7DAD" w:rsidRPr="00B45F98" w:rsidRDefault="00CC7DAD" w:rsidP="00634596">
            <w:pPr>
              <w:pStyle w:val="BodyText-parastyle"/>
              <w:numPr>
                <w:ilvl w:val="0"/>
                <w:numId w:val="48"/>
              </w:numPr>
            </w:pPr>
          </w:p>
        </w:tc>
        <w:tc>
          <w:tcPr>
            <w:tcW w:w="4717" w:type="pct"/>
            <w:tcBorders>
              <w:bottom w:val="single" w:sz="4" w:space="0" w:color="auto"/>
            </w:tcBorders>
            <w:shd w:val="clear" w:color="auto" w:fill="E0E0E0"/>
            <w:vAlign w:val="center"/>
          </w:tcPr>
          <w:p w14:paraId="7110AAFE" w14:textId="77777777" w:rsidR="00CC7DAD" w:rsidRPr="00B45F98" w:rsidRDefault="00CC7DAD" w:rsidP="00AE785D">
            <w:pPr>
              <w:pStyle w:val="BodyText-parastyle"/>
            </w:pPr>
            <w:r w:rsidRPr="00B45F98">
              <w:rPr>
                <w:rFonts w:eastAsiaTheme="minorHAnsi"/>
              </w:rPr>
              <w:t>What elements of the project could be improved upon?</w:t>
            </w:r>
          </w:p>
        </w:tc>
      </w:tr>
      <w:tr w:rsidR="00CC7DAD" w:rsidRPr="00B45F98" w:rsidDel="00DC6327" w14:paraId="36D5C522" w14:textId="77777777" w:rsidTr="002D5FA9">
        <w:tc>
          <w:tcPr>
            <w:tcW w:w="283" w:type="pct"/>
            <w:vAlign w:val="center"/>
          </w:tcPr>
          <w:p w14:paraId="7AA923CE" w14:textId="77777777" w:rsidR="00CC7DAD" w:rsidRPr="00B45F98" w:rsidRDefault="00CC7DAD" w:rsidP="00AE785D">
            <w:pPr>
              <w:pStyle w:val="BodyText-parastyle"/>
            </w:pPr>
          </w:p>
        </w:tc>
        <w:tc>
          <w:tcPr>
            <w:tcW w:w="4717" w:type="pct"/>
            <w:vAlign w:val="center"/>
          </w:tcPr>
          <w:p w14:paraId="45CF9451" w14:textId="77777777" w:rsidR="00CC7DAD" w:rsidRPr="00B45F98" w:rsidRDefault="00CC7DAD" w:rsidP="00AE785D">
            <w:pPr>
              <w:pStyle w:val="BodyText-parastyle"/>
            </w:pPr>
          </w:p>
          <w:p w14:paraId="4779B247" w14:textId="77777777" w:rsidR="00CC7DAD" w:rsidRPr="00B45F98" w:rsidRDefault="00CC7DAD" w:rsidP="00AE785D">
            <w:pPr>
              <w:pStyle w:val="BodyText-parastyle"/>
            </w:pPr>
          </w:p>
          <w:p w14:paraId="22B9393E" w14:textId="77777777" w:rsidR="00CC7DAD" w:rsidRPr="00B45F98" w:rsidDel="00DC6327" w:rsidRDefault="00CC7DAD" w:rsidP="00AE785D">
            <w:pPr>
              <w:pStyle w:val="BodyText-parastyle"/>
            </w:pPr>
          </w:p>
        </w:tc>
      </w:tr>
    </w:tbl>
    <w:p w14:paraId="41F87960" w14:textId="77777777" w:rsidR="00CC7DAD" w:rsidRPr="00B45F98" w:rsidRDefault="00CC7DAD" w:rsidP="00634596">
      <w:pPr>
        <w:pStyle w:val="BodyText-parastyle"/>
      </w:pPr>
      <w:r w:rsidRPr="00B45F98">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8960"/>
      </w:tblGrid>
      <w:tr w:rsidR="00CC7DAD" w:rsidRPr="00B45F98" w14:paraId="03DC0926" w14:textId="77777777" w:rsidTr="002D5FA9">
        <w:trPr>
          <w:trHeight w:val="296"/>
        </w:trPr>
        <w:tc>
          <w:tcPr>
            <w:tcW w:w="283" w:type="pct"/>
            <w:shd w:val="clear" w:color="auto" w:fill="E0E0E0"/>
            <w:vAlign w:val="center"/>
          </w:tcPr>
          <w:p w14:paraId="74553169" w14:textId="77777777" w:rsidR="00CC7DAD" w:rsidRPr="00B45F98" w:rsidRDefault="00CC7DAD" w:rsidP="00634596">
            <w:pPr>
              <w:pStyle w:val="BodyText-parastyle"/>
              <w:numPr>
                <w:ilvl w:val="0"/>
                <w:numId w:val="48"/>
              </w:numPr>
            </w:pPr>
          </w:p>
        </w:tc>
        <w:tc>
          <w:tcPr>
            <w:tcW w:w="4717" w:type="pct"/>
            <w:tcBorders>
              <w:bottom w:val="single" w:sz="4" w:space="0" w:color="auto"/>
            </w:tcBorders>
            <w:shd w:val="clear" w:color="auto" w:fill="E0E0E0"/>
            <w:vAlign w:val="center"/>
          </w:tcPr>
          <w:p w14:paraId="03558BAC" w14:textId="77777777" w:rsidR="00CC7DAD" w:rsidRPr="00B45F98" w:rsidRDefault="00CC7DAD" w:rsidP="00AE785D">
            <w:pPr>
              <w:pStyle w:val="BodyText-parastyle"/>
            </w:pPr>
            <w:r w:rsidRPr="00B45F98">
              <w:rPr>
                <w:rFonts w:eastAsiaTheme="minorHAnsi"/>
              </w:rPr>
              <w:t>Is there any other type of support that you would like to have received?</w:t>
            </w:r>
          </w:p>
        </w:tc>
      </w:tr>
      <w:tr w:rsidR="00CC7DAD" w:rsidRPr="00B45F98" w:rsidDel="00DC6327" w14:paraId="7FE659A1" w14:textId="77777777" w:rsidTr="002D5FA9">
        <w:tc>
          <w:tcPr>
            <w:tcW w:w="283" w:type="pct"/>
            <w:vAlign w:val="center"/>
          </w:tcPr>
          <w:p w14:paraId="2B57AB1B" w14:textId="77777777" w:rsidR="00CC7DAD" w:rsidRPr="00B45F98" w:rsidRDefault="00CC7DAD" w:rsidP="00AE785D">
            <w:pPr>
              <w:pStyle w:val="BodyText-parastyle"/>
            </w:pPr>
          </w:p>
        </w:tc>
        <w:tc>
          <w:tcPr>
            <w:tcW w:w="4717" w:type="pct"/>
            <w:vAlign w:val="center"/>
          </w:tcPr>
          <w:p w14:paraId="5D4BFC67" w14:textId="77777777" w:rsidR="00CC7DAD" w:rsidRPr="00B45F98" w:rsidRDefault="00CC7DAD" w:rsidP="00AE785D">
            <w:pPr>
              <w:pStyle w:val="BodyText-parastyle"/>
            </w:pPr>
          </w:p>
          <w:p w14:paraId="471EF434" w14:textId="77777777" w:rsidR="00CC7DAD" w:rsidRDefault="00CC7DAD" w:rsidP="00AE785D">
            <w:pPr>
              <w:pStyle w:val="BodyText-parastyle"/>
            </w:pPr>
          </w:p>
          <w:p w14:paraId="098B413E" w14:textId="77777777" w:rsidR="00CC7DAD" w:rsidRDefault="00CC7DAD" w:rsidP="00AE785D">
            <w:pPr>
              <w:pStyle w:val="BodyText-parastyle"/>
            </w:pPr>
          </w:p>
          <w:p w14:paraId="3E528C8A" w14:textId="77777777" w:rsidR="00CC7DAD" w:rsidRPr="00B45F98" w:rsidDel="00DC6327" w:rsidRDefault="00CC7DAD" w:rsidP="00AE785D">
            <w:pPr>
              <w:pStyle w:val="BodyText-parastyle"/>
            </w:pPr>
          </w:p>
        </w:tc>
      </w:tr>
    </w:tbl>
    <w:p w14:paraId="43096AFA" w14:textId="77777777" w:rsidR="00CC7DAD" w:rsidRPr="00B45F98" w:rsidRDefault="00CC7DAD" w:rsidP="00AE785D">
      <w:pPr>
        <w:pStyle w:val="BodyText-parastyl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295"/>
        <w:gridCol w:w="2665"/>
      </w:tblGrid>
      <w:tr w:rsidR="00CC7DAD" w:rsidRPr="00B45F98" w14:paraId="7E91030F" w14:textId="77777777" w:rsidTr="002D5FA9">
        <w:trPr>
          <w:trHeight w:val="296"/>
        </w:trPr>
        <w:tc>
          <w:tcPr>
            <w:tcW w:w="283" w:type="pct"/>
            <w:shd w:val="clear" w:color="auto" w:fill="E0E0E0"/>
            <w:vAlign w:val="center"/>
          </w:tcPr>
          <w:p w14:paraId="5B59CB77" w14:textId="77777777" w:rsidR="00CC7DAD" w:rsidRPr="00B45F98" w:rsidRDefault="00CC7DAD" w:rsidP="00634596">
            <w:pPr>
              <w:pStyle w:val="BodyText-parastyle"/>
              <w:numPr>
                <w:ilvl w:val="0"/>
                <w:numId w:val="46"/>
              </w:numPr>
            </w:pPr>
          </w:p>
        </w:tc>
        <w:tc>
          <w:tcPr>
            <w:tcW w:w="4717" w:type="pct"/>
            <w:gridSpan w:val="2"/>
            <w:tcBorders>
              <w:bottom w:val="single" w:sz="4" w:space="0" w:color="auto"/>
            </w:tcBorders>
            <w:shd w:val="clear" w:color="auto" w:fill="E0E0E0"/>
            <w:vAlign w:val="center"/>
          </w:tcPr>
          <w:p w14:paraId="1EDF7B7C" w14:textId="77777777" w:rsidR="00CC7DAD" w:rsidRPr="00B45F98" w:rsidRDefault="00CC7DAD" w:rsidP="00AE785D">
            <w:pPr>
              <w:pStyle w:val="BodyText-parastyle"/>
            </w:pPr>
            <w:r w:rsidRPr="00B45F98">
              <w:rPr>
                <w:rFonts w:eastAsiaTheme="minorHAnsi"/>
              </w:rPr>
              <w:t xml:space="preserve">Would you recommend the project others?  </w:t>
            </w:r>
            <w:r w:rsidRPr="009D0785">
              <w:rPr>
                <w:rFonts w:eastAsiaTheme="minorHAnsi"/>
                <w:i/>
              </w:rPr>
              <w:t>Tick one</w:t>
            </w:r>
          </w:p>
        </w:tc>
      </w:tr>
      <w:tr w:rsidR="00CC7DAD" w:rsidRPr="00B45F98" w:rsidDel="00DC6327" w14:paraId="08C6DBED" w14:textId="77777777" w:rsidTr="002D5FA9">
        <w:tc>
          <w:tcPr>
            <w:tcW w:w="283" w:type="pct"/>
            <w:vMerge w:val="restart"/>
            <w:vAlign w:val="center"/>
          </w:tcPr>
          <w:p w14:paraId="1C2F4D70" w14:textId="77777777" w:rsidR="00CC7DAD" w:rsidRPr="00B45F98" w:rsidRDefault="00CC7DAD" w:rsidP="00AE785D">
            <w:pPr>
              <w:pStyle w:val="BodyText-parastyle"/>
            </w:pPr>
          </w:p>
        </w:tc>
        <w:tc>
          <w:tcPr>
            <w:tcW w:w="3314" w:type="pct"/>
            <w:tcBorders>
              <w:right w:val="single" w:sz="4" w:space="0" w:color="auto"/>
            </w:tcBorders>
            <w:vAlign w:val="center"/>
          </w:tcPr>
          <w:p w14:paraId="5DBA863F" w14:textId="77777777" w:rsidR="00CC7DAD" w:rsidRPr="00B45F98" w:rsidRDefault="00CC7DAD" w:rsidP="002D5FA9">
            <w:pPr>
              <w:spacing w:before="40" w:after="40" w:line="360" w:lineRule="auto"/>
              <w:rPr>
                <w:bCs/>
                <w:lang w:val="en-IE"/>
              </w:rPr>
            </w:pPr>
            <w:r w:rsidRPr="00B45F98">
              <w:rPr>
                <w:bCs/>
                <w:lang w:val="en-IE"/>
              </w:rPr>
              <w:t>Yes</w:t>
            </w:r>
          </w:p>
        </w:tc>
        <w:tc>
          <w:tcPr>
            <w:tcW w:w="1403" w:type="pct"/>
            <w:tcBorders>
              <w:left w:val="single" w:sz="4" w:space="0" w:color="auto"/>
            </w:tcBorders>
            <w:vAlign w:val="center"/>
          </w:tcPr>
          <w:p w14:paraId="57BD0071" w14:textId="77777777" w:rsidR="00CC7DAD" w:rsidRPr="00B45F98" w:rsidDel="00DC6327" w:rsidRDefault="00CC7DAD" w:rsidP="00AE785D">
            <w:pPr>
              <w:pStyle w:val="BodyText-parastyle"/>
            </w:pPr>
            <w:r w:rsidRPr="00B45F98">
              <w:fldChar w:fldCharType="begin">
                <w:ffData>
                  <w:name w:val="Check1"/>
                  <w:enabled/>
                  <w:calcOnExit w:val="0"/>
                  <w:checkBox>
                    <w:sizeAuto/>
                    <w:default w:val="0"/>
                  </w:checkBox>
                </w:ffData>
              </w:fldChar>
            </w:r>
            <w:r w:rsidRPr="00B45F98">
              <w:instrText xml:space="preserve"> FORMCHECKBOX </w:instrText>
            </w:r>
            <w:r w:rsidR="00160C04">
              <w:fldChar w:fldCharType="separate"/>
            </w:r>
            <w:r w:rsidRPr="00B45F98">
              <w:fldChar w:fldCharType="end"/>
            </w:r>
            <w:r w:rsidRPr="00B45F98">
              <w:t xml:space="preserve"> </w:t>
            </w:r>
          </w:p>
        </w:tc>
      </w:tr>
      <w:tr w:rsidR="00CC7DAD" w:rsidRPr="00B45F98" w:rsidDel="00DC6327" w14:paraId="4787BC90" w14:textId="77777777" w:rsidTr="002D5FA9">
        <w:tc>
          <w:tcPr>
            <w:tcW w:w="283" w:type="pct"/>
            <w:vMerge/>
            <w:vAlign w:val="center"/>
          </w:tcPr>
          <w:p w14:paraId="4FEFC3A7" w14:textId="77777777" w:rsidR="00CC7DAD" w:rsidRPr="00B45F98" w:rsidRDefault="00CC7DAD" w:rsidP="00AE785D">
            <w:pPr>
              <w:pStyle w:val="BodyText-parastyle"/>
            </w:pPr>
          </w:p>
        </w:tc>
        <w:tc>
          <w:tcPr>
            <w:tcW w:w="3314" w:type="pct"/>
            <w:tcBorders>
              <w:right w:val="single" w:sz="4" w:space="0" w:color="auto"/>
            </w:tcBorders>
            <w:vAlign w:val="center"/>
          </w:tcPr>
          <w:p w14:paraId="3C31AC1E" w14:textId="77777777" w:rsidR="00CC7DAD" w:rsidRPr="00B45F98" w:rsidRDefault="00CC7DAD" w:rsidP="002D5FA9">
            <w:pPr>
              <w:spacing w:before="40" w:after="40" w:line="360" w:lineRule="auto"/>
              <w:rPr>
                <w:bCs/>
                <w:lang w:val="en-IE"/>
              </w:rPr>
            </w:pPr>
            <w:r w:rsidRPr="00B45F98">
              <w:rPr>
                <w:bCs/>
                <w:lang w:val="en-IE"/>
              </w:rPr>
              <w:t>No</w:t>
            </w:r>
          </w:p>
        </w:tc>
        <w:tc>
          <w:tcPr>
            <w:tcW w:w="1403" w:type="pct"/>
            <w:tcBorders>
              <w:left w:val="single" w:sz="4" w:space="0" w:color="auto"/>
            </w:tcBorders>
            <w:vAlign w:val="center"/>
          </w:tcPr>
          <w:p w14:paraId="58A4DB8E" w14:textId="77777777" w:rsidR="00CC7DAD" w:rsidRPr="00B45F98" w:rsidRDefault="00CC7DAD" w:rsidP="00AE785D">
            <w:pPr>
              <w:pStyle w:val="BodyText-parastyle"/>
            </w:pPr>
            <w:r w:rsidRPr="00B45F98">
              <w:fldChar w:fldCharType="begin">
                <w:ffData>
                  <w:name w:val="Check1"/>
                  <w:enabled/>
                  <w:calcOnExit w:val="0"/>
                  <w:checkBox>
                    <w:sizeAuto/>
                    <w:default w:val="0"/>
                  </w:checkBox>
                </w:ffData>
              </w:fldChar>
            </w:r>
            <w:r w:rsidRPr="00B45F98">
              <w:instrText xml:space="preserve"> FORMCHECKBOX </w:instrText>
            </w:r>
            <w:r w:rsidR="00160C04">
              <w:fldChar w:fldCharType="separate"/>
            </w:r>
            <w:r w:rsidRPr="00B45F98">
              <w:fldChar w:fldCharType="end"/>
            </w:r>
            <w:r w:rsidRPr="00B45F98">
              <w:t xml:space="preserve"> </w:t>
            </w:r>
          </w:p>
        </w:tc>
      </w:tr>
    </w:tbl>
    <w:p w14:paraId="65C608DA" w14:textId="6BB8009B" w:rsidR="00CC7DAD" w:rsidRDefault="00CC7DAD" w:rsidP="00CC7DAD">
      <w:pPr>
        <w:pStyle w:val="AppendixHeader"/>
      </w:pPr>
      <w:bookmarkStart w:id="97" w:name="_Toc493160625"/>
      <w:r>
        <w:t xml:space="preserve">Appendix 3: </w:t>
      </w:r>
      <w:r w:rsidRPr="00CC7DAD">
        <w:t xml:space="preserve">Social </w:t>
      </w:r>
      <w:r>
        <w:t>P</w:t>
      </w:r>
      <w:r w:rsidRPr="00CC7DAD">
        <w:t xml:space="preserve">rescribing s76 addendum revised </w:t>
      </w:r>
      <w:r>
        <w:t>KPIs</w:t>
      </w:r>
      <w:bookmarkEnd w:id="97"/>
    </w:p>
    <w:p w14:paraId="017FB0EA" w14:textId="77777777" w:rsidR="00CC7DAD" w:rsidRDefault="00CC7DAD">
      <w:pPr>
        <w:spacing w:before="0" w:after="0" w:line="240" w:lineRule="auto"/>
        <w:rPr>
          <w:rFonts w:eastAsia="Times New Roman"/>
          <w:sz w:val="24"/>
          <w:szCs w:val="24"/>
          <w:lang w:val="en-IE"/>
        </w:rPr>
      </w:pPr>
      <w:r>
        <w:br w:type="page"/>
      </w:r>
    </w:p>
    <w:p w14:paraId="738055DB" w14:textId="124FAB6F" w:rsidR="00CC7DAD" w:rsidRPr="00481A69" w:rsidRDefault="00CC7DAD" w:rsidP="00CC7DAD">
      <w:r w:rsidRPr="00481A69">
        <w:rPr>
          <w:bCs/>
        </w:rPr>
        <w:t>Following discussions,</w:t>
      </w:r>
      <w:r w:rsidRPr="00481A69">
        <w:rPr>
          <w:b/>
          <w:bCs/>
        </w:rPr>
        <w:t xml:space="preserve"> </w:t>
      </w:r>
      <w:r w:rsidRPr="00481A69">
        <w:rPr>
          <w:bCs/>
        </w:rPr>
        <w:t>and under the ’</w:t>
      </w:r>
      <w:r w:rsidRPr="00481A69">
        <w:t xml:space="preserve">variations’ section to this Agreement as provided for in Clause 5 and Schedule 6, </w:t>
      </w:r>
      <w:r w:rsidRPr="00481A69">
        <w:rPr>
          <w:b/>
          <w:bCs/>
        </w:rPr>
        <w:t>THE PARTIES AGREE</w:t>
      </w:r>
      <w:r w:rsidRPr="00481A69">
        <w:rPr>
          <w:bCs/>
        </w:rPr>
        <w:t xml:space="preserve"> to</w:t>
      </w:r>
      <w:r w:rsidRPr="00481A69">
        <w:rPr>
          <w:b/>
          <w:bCs/>
        </w:rPr>
        <w:t xml:space="preserve"> </w:t>
      </w:r>
      <w:r w:rsidRPr="00481A69">
        <w:t>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8463"/>
      </w:tblGrid>
      <w:tr w:rsidR="00CC7DAD" w:rsidRPr="00481A69" w14:paraId="173E765C" w14:textId="77777777" w:rsidTr="00CC7DAD">
        <w:trPr>
          <w:trHeight w:val="7309"/>
        </w:trPr>
        <w:tc>
          <w:tcPr>
            <w:tcW w:w="782" w:type="dxa"/>
          </w:tcPr>
          <w:p w14:paraId="1D6AA0DB" w14:textId="77777777" w:rsidR="00CC7DAD" w:rsidRPr="00481A69" w:rsidRDefault="00CC7DAD" w:rsidP="002D5FA9"/>
        </w:tc>
        <w:tc>
          <w:tcPr>
            <w:tcW w:w="8463" w:type="dxa"/>
          </w:tcPr>
          <w:p w14:paraId="6F55031C" w14:textId="07694D81" w:rsidR="00CC7DAD" w:rsidRPr="00481A69" w:rsidRDefault="00CC7DAD" w:rsidP="002D5FA9">
            <w:r w:rsidRPr="00481A69">
              <w:rPr>
                <w:b/>
                <w:bCs/>
              </w:rPr>
              <w:t>Amendment to Key Performance Indicators and Information Provision</w:t>
            </w:r>
            <w:r w:rsidRPr="00481A69">
              <w:t xml:space="preserve"> </w:t>
            </w:r>
          </w:p>
          <w:p w14:paraId="2B6530F3" w14:textId="77777777" w:rsidR="00CC7DAD" w:rsidRPr="00481A69" w:rsidRDefault="00CC7DAD" w:rsidP="002D5FA9">
            <w:pPr>
              <w:pStyle w:val="bodytext-parastyle0"/>
              <w:rPr>
                <w:color w:val="212121"/>
                <w:sz w:val="20"/>
                <w:szCs w:val="20"/>
              </w:rPr>
            </w:pPr>
            <w:r w:rsidRPr="00481A69">
              <w:rPr>
                <w:color w:val="000000"/>
                <w:sz w:val="20"/>
                <w:szCs w:val="20"/>
              </w:rPr>
              <w:t>Below is a list of key pieces of information required to inform the reporting of the social prescribing programme. We have categorised these into two groups [1] Essential and [2] Desirable.</w:t>
            </w:r>
          </w:p>
          <w:p w14:paraId="6413A3C8" w14:textId="77777777" w:rsidR="00CC7DAD" w:rsidRPr="00481A69" w:rsidRDefault="00CC7DAD" w:rsidP="002D5FA9">
            <w:pPr>
              <w:rPr>
                <w:b/>
              </w:rPr>
            </w:pPr>
            <w:r w:rsidRPr="00481A69">
              <w:rPr>
                <w:b/>
              </w:rPr>
              <w:t>[1] Essential reporting information:</w:t>
            </w:r>
          </w:p>
          <w:p w14:paraId="607F10C3" w14:textId="77777777" w:rsidR="00CC7DAD" w:rsidRPr="00481A69" w:rsidRDefault="00CC7DAD" w:rsidP="00D53262">
            <w:pPr>
              <w:pStyle w:val="ListParagraph"/>
              <w:numPr>
                <w:ilvl w:val="0"/>
                <w:numId w:val="47"/>
              </w:numPr>
              <w:rPr>
                <w:sz w:val="20"/>
              </w:rPr>
            </w:pPr>
            <w:r w:rsidRPr="00481A69">
              <w:rPr>
                <w:sz w:val="20"/>
              </w:rPr>
              <w:t>Final targets (as applicable, if these were revised since October 2016);</w:t>
            </w:r>
          </w:p>
          <w:p w14:paraId="05B2F245" w14:textId="77777777" w:rsidR="00CC7DAD" w:rsidRPr="00481A69" w:rsidRDefault="00CC7DAD" w:rsidP="00D53262">
            <w:pPr>
              <w:pStyle w:val="ListParagraph"/>
              <w:numPr>
                <w:ilvl w:val="0"/>
                <w:numId w:val="47"/>
              </w:numPr>
              <w:rPr>
                <w:sz w:val="20"/>
              </w:rPr>
            </w:pPr>
            <w:r w:rsidRPr="00481A69">
              <w:rPr>
                <w:sz w:val="20"/>
              </w:rPr>
              <w:t>Number of referrals to the project by source;</w:t>
            </w:r>
          </w:p>
          <w:p w14:paraId="3D04E3FC" w14:textId="77777777" w:rsidR="00CC7DAD" w:rsidRPr="00481A69" w:rsidRDefault="00CC7DAD" w:rsidP="00D53262">
            <w:pPr>
              <w:pStyle w:val="ListParagraph"/>
              <w:numPr>
                <w:ilvl w:val="0"/>
                <w:numId w:val="47"/>
              </w:numPr>
              <w:rPr>
                <w:sz w:val="20"/>
              </w:rPr>
            </w:pPr>
            <w:r w:rsidRPr="00481A69">
              <w:rPr>
                <w:sz w:val="20"/>
              </w:rPr>
              <w:t>Number that declined the service;</w:t>
            </w:r>
          </w:p>
          <w:p w14:paraId="7FAB06BF" w14:textId="77777777" w:rsidR="00CC7DAD" w:rsidRPr="00481A69" w:rsidRDefault="00CC7DAD" w:rsidP="00D53262">
            <w:pPr>
              <w:pStyle w:val="ListParagraph"/>
              <w:numPr>
                <w:ilvl w:val="0"/>
                <w:numId w:val="47"/>
              </w:numPr>
              <w:rPr>
                <w:sz w:val="20"/>
              </w:rPr>
            </w:pPr>
            <w:r w:rsidRPr="00481A69">
              <w:rPr>
                <w:sz w:val="20"/>
              </w:rPr>
              <w:t>Number of participants / service users;</w:t>
            </w:r>
          </w:p>
          <w:p w14:paraId="5F2EC32C" w14:textId="77777777" w:rsidR="00CC7DAD" w:rsidRPr="00481A69" w:rsidRDefault="00CC7DAD" w:rsidP="00D53262">
            <w:pPr>
              <w:pStyle w:val="ListParagraph"/>
              <w:numPr>
                <w:ilvl w:val="0"/>
                <w:numId w:val="47"/>
              </w:numPr>
              <w:rPr>
                <w:sz w:val="20"/>
              </w:rPr>
            </w:pPr>
            <w:r w:rsidRPr="00481A69">
              <w:rPr>
                <w:sz w:val="20"/>
              </w:rPr>
              <w:t>Number of onward referrals, by type of service referred to;</w:t>
            </w:r>
          </w:p>
          <w:p w14:paraId="20025D82" w14:textId="77777777" w:rsidR="00CC7DAD" w:rsidRPr="00481A69" w:rsidRDefault="00CC7DAD" w:rsidP="00D53262">
            <w:pPr>
              <w:pStyle w:val="ListParagraph"/>
              <w:numPr>
                <w:ilvl w:val="0"/>
                <w:numId w:val="47"/>
              </w:numPr>
              <w:rPr>
                <w:sz w:val="20"/>
              </w:rPr>
            </w:pPr>
            <w:r w:rsidRPr="00481A69">
              <w:rPr>
                <w:sz w:val="20"/>
              </w:rPr>
              <w:t>Number of volunteers and number of volunteer hours spent on the project;</w:t>
            </w:r>
          </w:p>
          <w:p w14:paraId="15C9F4A2" w14:textId="77777777" w:rsidR="00CC7DAD" w:rsidRPr="00481A69" w:rsidRDefault="00CC7DAD" w:rsidP="00D53262">
            <w:pPr>
              <w:pStyle w:val="ListParagraph"/>
              <w:numPr>
                <w:ilvl w:val="0"/>
                <w:numId w:val="47"/>
              </w:numPr>
              <w:rPr>
                <w:sz w:val="20"/>
              </w:rPr>
            </w:pPr>
            <w:r w:rsidRPr="00481A69">
              <w:rPr>
                <w:sz w:val="20"/>
              </w:rPr>
              <w:t>Total spend from project start to date (reporting must show cumulative totals) – detailing Revenue; Overheads; Programme Costs; Capital spend and reasons for any underspend / overspend;</w:t>
            </w:r>
          </w:p>
          <w:p w14:paraId="7FBAAB5C" w14:textId="77777777" w:rsidR="00CC7DAD" w:rsidRPr="00481A69" w:rsidRDefault="00CC7DAD" w:rsidP="00D53262">
            <w:pPr>
              <w:pStyle w:val="ListParagraph"/>
              <w:numPr>
                <w:ilvl w:val="0"/>
                <w:numId w:val="47"/>
              </w:numPr>
              <w:rPr>
                <w:sz w:val="20"/>
              </w:rPr>
            </w:pPr>
            <w:r w:rsidRPr="00481A69">
              <w:rPr>
                <w:sz w:val="20"/>
              </w:rPr>
              <w:t>The cost per participant.</w:t>
            </w:r>
          </w:p>
          <w:p w14:paraId="374CF7B0" w14:textId="77777777" w:rsidR="00CC7DAD" w:rsidRPr="00481A69" w:rsidRDefault="00CC7DAD" w:rsidP="00481A69">
            <w:pPr>
              <w:pStyle w:val="ListParagraph"/>
              <w:numPr>
                <w:ilvl w:val="0"/>
                <w:numId w:val="0"/>
              </w:numPr>
              <w:ind w:left="357"/>
              <w:rPr>
                <w:sz w:val="20"/>
              </w:rPr>
            </w:pPr>
          </w:p>
          <w:p w14:paraId="1EC6D9CE" w14:textId="77777777" w:rsidR="00CC7DAD" w:rsidRPr="00481A69" w:rsidRDefault="00CC7DAD" w:rsidP="00481A69">
            <w:pPr>
              <w:ind w:left="357" w:hanging="357"/>
            </w:pPr>
            <w:r w:rsidRPr="00481A69">
              <w:t>[</w:t>
            </w:r>
            <w:r w:rsidRPr="00481A69">
              <w:rPr>
                <w:b/>
              </w:rPr>
              <w:t>2] Desirable information to support local outcomes:</w:t>
            </w:r>
          </w:p>
          <w:p w14:paraId="4D9E7686" w14:textId="77777777" w:rsidR="00CC7DAD" w:rsidRPr="00481A69" w:rsidRDefault="00CC7DAD" w:rsidP="00D53262">
            <w:pPr>
              <w:pStyle w:val="ListParagraph"/>
              <w:numPr>
                <w:ilvl w:val="0"/>
                <w:numId w:val="47"/>
              </w:numPr>
              <w:rPr>
                <w:sz w:val="20"/>
              </w:rPr>
            </w:pPr>
            <w:r w:rsidRPr="00481A69">
              <w:rPr>
                <w:sz w:val="20"/>
              </w:rPr>
              <w:t xml:space="preserve">1-pager case studies; </w:t>
            </w:r>
          </w:p>
          <w:p w14:paraId="5335BF7B" w14:textId="77777777" w:rsidR="00CC7DAD" w:rsidRPr="00481A69" w:rsidRDefault="00CC7DAD" w:rsidP="00D53262">
            <w:pPr>
              <w:pStyle w:val="ListParagraph"/>
              <w:numPr>
                <w:ilvl w:val="0"/>
                <w:numId w:val="47"/>
              </w:numPr>
              <w:rPr>
                <w:sz w:val="20"/>
              </w:rPr>
            </w:pPr>
            <w:r w:rsidRPr="00481A69">
              <w:rPr>
                <w:sz w:val="20"/>
              </w:rPr>
              <w:t>Any other qualitative feedback from service users that has been collected;</w:t>
            </w:r>
          </w:p>
          <w:p w14:paraId="4FFFB27E" w14:textId="77777777" w:rsidR="00CC7DAD" w:rsidRPr="00481A69" w:rsidRDefault="00CC7DAD" w:rsidP="00D53262">
            <w:pPr>
              <w:pStyle w:val="ListParagraph"/>
              <w:numPr>
                <w:ilvl w:val="0"/>
                <w:numId w:val="47"/>
              </w:numPr>
              <w:rPr>
                <w:sz w:val="20"/>
              </w:rPr>
            </w:pPr>
            <w:r w:rsidRPr="00481A69">
              <w:rPr>
                <w:sz w:val="20"/>
              </w:rPr>
              <w:t>Any feedback on what has / has not worked with the SP model in your area with regard to target groups, referral pathways, the type and format of support provided and the resources utilised;</w:t>
            </w:r>
          </w:p>
          <w:p w14:paraId="7E576812" w14:textId="477BE904" w:rsidR="00CC7DAD" w:rsidRPr="00481A69" w:rsidRDefault="00CC7DAD" w:rsidP="00D53262">
            <w:pPr>
              <w:pStyle w:val="ListParagraph"/>
              <w:numPr>
                <w:ilvl w:val="0"/>
                <w:numId w:val="47"/>
              </w:numPr>
              <w:rPr>
                <w:sz w:val="20"/>
              </w:rPr>
            </w:pPr>
            <w:r w:rsidRPr="00481A69">
              <w:rPr>
                <w:sz w:val="20"/>
              </w:rPr>
              <w:t>Any evidence of shared learning through the project (e.g. participating in networks or working with other Social Prescribing projects).</w:t>
            </w:r>
          </w:p>
          <w:p w14:paraId="77A716A4" w14:textId="77777777" w:rsidR="00CC7DAD" w:rsidRPr="00481A69" w:rsidRDefault="00CC7DAD" w:rsidP="00CC7DAD">
            <w:pPr>
              <w:spacing w:before="0" w:after="0" w:line="240" w:lineRule="auto"/>
            </w:pPr>
          </w:p>
          <w:p w14:paraId="7A407E69" w14:textId="77777777" w:rsidR="00CC7DAD" w:rsidRPr="00481A69" w:rsidRDefault="00CC7DAD" w:rsidP="002D5FA9">
            <w:r w:rsidRPr="00481A69">
              <w:rPr>
                <w:b/>
                <w:color w:val="000000"/>
                <w:u w:val="single"/>
              </w:rPr>
              <w:t xml:space="preserve">This </w:t>
            </w:r>
            <w:r w:rsidRPr="00481A69">
              <w:rPr>
                <w:b/>
                <w:bCs/>
                <w:u w:val="single"/>
              </w:rPr>
              <w:t xml:space="preserve">information is required on a monthly basis on the first day of the month. </w:t>
            </w:r>
          </w:p>
        </w:tc>
      </w:tr>
    </w:tbl>
    <w:p w14:paraId="422903BD" w14:textId="0FFFD568" w:rsidR="00CC7DAD" w:rsidRPr="00481A69" w:rsidRDefault="00CC7DAD" w:rsidP="00CC7DAD">
      <w:pPr>
        <w:ind w:left="735"/>
        <w:rPr>
          <w:bCs/>
          <w:szCs w:val="24"/>
        </w:rPr>
      </w:pPr>
      <w:r w:rsidRPr="00481A69">
        <w:rPr>
          <w:bCs/>
          <w:szCs w:val="24"/>
        </w:rPr>
        <w:t>Signed           ………………………………………</w:t>
      </w:r>
      <w:r w:rsidRPr="00481A69">
        <w:rPr>
          <w:bCs/>
          <w:szCs w:val="24"/>
        </w:rPr>
        <w:tab/>
      </w:r>
      <w:r w:rsidRPr="00481A69">
        <w:rPr>
          <w:bCs/>
          <w:szCs w:val="24"/>
        </w:rPr>
        <w:tab/>
        <w:t>for XXXX CCG</w:t>
      </w:r>
    </w:p>
    <w:p w14:paraId="3A813D35" w14:textId="77777777" w:rsidR="00CC7DAD" w:rsidRPr="00481A69" w:rsidRDefault="00CC7DAD" w:rsidP="00CC7DAD">
      <w:pPr>
        <w:ind w:left="735"/>
        <w:rPr>
          <w:bCs/>
          <w:szCs w:val="24"/>
        </w:rPr>
      </w:pPr>
      <w:r w:rsidRPr="00481A69">
        <w:rPr>
          <w:bCs/>
          <w:szCs w:val="24"/>
        </w:rPr>
        <w:t xml:space="preserve">              </w:t>
      </w:r>
    </w:p>
    <w:p w14:paraId="0B15E20A" w14:textId="77777777" w:rsidR="00CC7DAD" w:rsidRPr="00481A69" w:rsidRDefault="00CC7DAD" w:rsidP="00CC7DAD">
      <w:pPr>
        <w:ind w:left="735"/>
        <w:rPr>
          <w:bCs/>
          <w:szCs w:val="24"/>
        </w:rPr>
      </w:pPr>
      <w:r w:rsidRPr="00481A69">
        <w:rPr>
          <w:bCs/>
          <w:szCs w:val="24"/>
        </w:rPr>
        <w:t xml:space="preserve">                      ………………………………………</w:t>
      </w:r>
      <w:r w:rsidRPr="00481A69">
        <w:rPr>
          <w:bCs/>
          <w:szCs w:val="24"/>
        </w:rPr>
        <w:tab/>
      </w:r>
      <w:r w:rsidRPr="00481A69">
        <w:rPr>
          <w:bCs/>
          <w:szCs w:val="24"/>
        </w:rPr>
        <w:tab/>
        <w:t>Position</w:t>
      </w:r>
    </w:p>
    <w:p w14:paraId="618D4D8E" w14:textId="77777777" w:rsidR="00CC7DAD" w:rsidRPr="00481A69" w:rsidRDefault="00CC7DAD" w:rsidP="00CC7DAD">
      <w:pPr>
        <w:ind w:left="735"/>
        <w:rPr>
          <w:bCs/>
          <w:szCs w:val="24"/>
        </w:rPr>
      </w:pPr>
    </w:p>
    <w:p w14:paraId="04E53C12" w14:textId="77777777" w:rsidR="00CC7DAD" w:rsidRPr="00481A69" w:rsidRDefault="00CC7DAD" w:rsidP="00CC7DAD">
      <w:pPr>
        <w:ind w:left="735"/>
        <w:rPr>
          <w:bCs/>
          <w:szCs w:val="24"/>
        </w:rPr>
      </w:pPr>
      <w:r w:rsidRPr="00481A69">
        <w:rPr>
          <w:bCs/>
          <w:szCs w:val="24"/>
        </w:rPr>
        <w:t xml:space="preserve">                      ………………………………………</w:t>
      </w:r>
      <w:r w:rsidRPr="00481A69">
        <w:rPr>
          <w:bCs/>
          <w:szCs w:val="24"/>
        </w:rPr>
        <w:tab/>
      </w:r>
      <w:r w:rsidRPr="00481A69">
        <w:rPr>
          <w:bCs/>
          <w:szCs w:val="24"/>
        </w:rPr>
        <w:tab/>
        <w:t>Date</w:t>
      </w:r>
    </w:p>
    <w:p w14:paraId="293A795E" w14:textId="77777777" w:rsidR="00CC7DAD" w:rsidRPr="00481A69" w:rsidRDefault="00CC7DAD" w:rsidP="00CC7DAD">
      <w:pPr>
        <w:rPr>
          <w:bCs/>
          <w:szCs w:val="24"/>
        </w:rPr>
      </w:pPr>
    </w:p>
    <w:p w14:paraId="41B1323E" w14:textId="5C8F4C98" w:rsidR="00CC7DAD" w:rsidRPr="00481A69" w:rsidRDefault="00CC7DAD" w:rsidP="00481A69">
      <w:pPr>
        <w:ind w:left="735"/>
        <w:rPr>
          <w:bCs/>
          <w:szCs w:val="24"/>
        </w:rPr>
      </w:pPr>
      <w:r w:rsidRPr="00481A69">
        <w:rPr>
          <w:bCs/>
          <w:szCs w:val="24"/>
        </w:rPr>
        <w:t>Signed           ………………………………………</w:t>
      </w:r>
      <w:r w:rsidRPr="00481A69">
        <w:rPr>
          <w:bCs/>
          <w:szCs w:val="24"/>
        </w:rPr>
        <w:tab/>
      </w:r>
      <w:r w:rsidRPr="00481A69">
        <w:rPr>
          <w:bCs/>
          <w:szCs w:val="24"/>
        </w:rPr>
        <w:tab/>
        <w:t>for Essex Co</w:t>
      </w:r>
      <w:r w:rsidR="00481A69">
        <w:rPr>
          <w:bCs/>
          <w:szCs w:val="24"/>
        </w:rPr>
        <w:t>unty Council</w:t>
      </w:r>
    </w:p>
    <w:p w14:paraId="6E406633" w14:textId="1A3220DB" w:rsidR="00CC7DAD" w:rsidRPr="00E32209" w:rsidRDefault="00CC7DAD" w:rsidP="00481A69">
      <w:pPr>
        <w:ind w:left="735"/>
        <w:rPr>
          <w:rFonts w:ascii="Calibri" w:hAnsi="Calibri" w:cs="Calibri"/>
          <w:bCs/>
          <w:szCs w:val="24"/>
        </w:rPr>
      </w:pPr>
      <w:r w:rsidRPr="00E32209">
        <w:rPr>
          <w:rFonts w:ascii="Calibri" w:hAnsi="Calibri" w:cs="Calibri"/>
          <w:bCs/>
          <w:szCs w:val="24"/>
        </w:rPr>
        <w:t xml:space="preserve">     </w:t>
      </w:r>
      <w:r>
        <w:rPr>
          <w:rFonts w:ascii="Calibri" w:hAnsi="Calibri" w:cs="Calibri"/>
          <w:bCs/>
          <w:szCs w:val="24"/>
        </w:rPr>
        <w:t xml:space="preserve">                 </w:t>
      </w:r>
      <w:r w:rsidRPr="00E32209">
        <w:rPr>
          <w:rFonts w:ascii="Calibri" w:hAnsi="Calibri" w:cs="Calibri"/>
          <w:bCs/>
          <w:szCs w:val="24"/>
        </w:rPr>
        <w:t xml:space="preserve">  ………………………………………</w:t>
      </w:r>
      <w:r w:rsidR="00481A69">
        <w:rPr>
          <w:rFonts w:ascii="Calibri" w:hAnsi="Calibri" w:cs="Calibri"/>
          <w:bCs/>
          <w:szCs w:val="24"/>
        </w:rPr>
        <w:tab/>
      </w:r>
      <w:r w:rsidR="00481A69">
        <w:rPr>
          <w:rFonts w:ascii="Calibri" w:hAnsi="Calibri" w:cs="Calibri"/>
          <w:bCs/>
          <w:szCs w:val="24"/>
        </w:rPr>
        <w:tab/>
        <w:t>Position</w:t>
      </w:r>
    </w:p>
    <w:p w14:paraId="2C056D8A" w14:textId="3B336EFB" w:rsidR="00A50F93" w:rsidRPr="002771E9" w:rsidRDefault="00CC7DAD" w:rsidP="002771E9">
      <w:pPr>
        <w:ind w:left="735"/>
        <w:rPr>
          <w:rFonts w:ascii="Calibri" w:hAnsi="Calibri" w:cs="Calibri"/>
          <w:bCs/>
          <w:szCs w:val="24"/>
        </w:rPr>
      </w:pPr>
      <w:r w:rsidRPr="00E32209">
        <w:rPr>
          <w:rFonts w:ascii="Calibri" w:hAnsi="Calibri" w:cs="Calibri"/>
          <w:bCs/>
          <w:szCs w:val="24"/>
        </w:rPr>
        <w:t xml:space="preserve">                        ………………………………………</w:t>
      </w:r>
      <w:r>
        <w:rPr>
          <w:rFonts w:ascii="Calibri" w:hAnsi="Calibri" w:cs="Calibri"/>
          <w:bCs/>
          <w:szCs w:val="24"/>
        </w:rPr>
        <w:tab/>
      </w:r>
      <w:r>
        <w:rPr>
          <w:rFonts w:ascii="Calibri" w:hAnsi="Calibri" w:cs="Calibri"/>
          <w:bCs/>
          <w:szCs w:val="24"/>
        </w:rPr>
        <w:tab/>
      </w:r>
      <w:r w:rsidRPr="00E32209">
        <w:rPr>
          <w:rFonts w:ascii="Calibri" w:hAnsi="Calibri" w:cs="Calibri"/>
          <w:bCs/>
          <w:szCs w:val="24"/>
        </w:rPr>
        <w:t>Date</w:t>
      </w:r>
      <w:r w:rsidR="00CC55CC">
        <w:rPr>
          <w:rFonts w:ascii="Calibri" w:hAnsi="Calibri" w:cs="Calibri"/>
          <w:bCs/>
          <w:szCs w:val="24"/>
        </w:rPr>
        <w:t xml:space="preserve"> </w:t>
      </w:r>
    </w:p>
    <w:sectPr w:rsidR="00A50F93" w:rsidRPr="002771E9" w:rsidSect="008A38A6">
      <w:pgSz w:w="11910" w:h="16840"/>
      <w:pgMar w:top="1418" w:right="711"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56C7" w14:textId="77777777" w:rsidR="00C50611" w:rsidRDefault="00C50611" w:rsidP="00C12727">
      <w:r>
        <w:separator/>
      </w:r>
    </w:p>
  </w:endnote>
  <w:endnote w:type="continuationSeparator" w:id="0">
    <w:p w14:paraId="566676F1" w14:textId="77777777" w:rsidR="00C50611" w:rsidRDefault="00C50611" w:rsidP="00C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relo Book">
    <w:altName w:val="Calibri"/>
    <w:panose1 w:val="00000000000000000000"/>
    <w:charset w:val="00"/>
    <w:family w:val="modern"/>
    <w:notTrueType/>
    <w:pitch w:val="variable"/>
    <w:sig w:usb0="A00000AF" w:usb1="5000205B" w:usb2="00000000" w:usb3="00000000" w:csb0="0000009B" w:csb1="00000000"/>
  </w:font>
  <w:font w:name="Prelo Medium">
    <w:altName w:val="Calibri"/>
    <w:panose1 w:val="00000000000000000000"/>
    <w:charset w:val="00"/>
    <w:family w:val="modern"/>
    <w:notTrueType/>
    <w:pitch w:val="variable"/>
    <w:sig w:usb0="00000001" w:usb1="5000205B" w:usb2="00000000" w:usb3="00000000" w:csb0="0000009B" w:csb1="00000000"/>
  </w:font>
  <w:font w:name="Prelo Bold">
    <w:altName w:val="Calibri"/>
    <w:panose1 w:val="00000000000000000000"/>
    <w:charset w:val="00"/>
    <w:family w:val="modern"/>
    <w:notTrueType/>
    <w:pitch w:val="variable"/>
    <w:sig w:usb0="00000001" w:usb1="5000205B" w:usb2="00000000" w:usb3="00000000" w:csb0="0000009B"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7CE3" w14:textId="77777777" w:rsidR="00C50611" w:rsidRDefault="00C50611" w:rsidP="00CB0C4F">
    <w:pPr>
      <w:pStyle w:val="Footer"/>
      <w:jc w:val="right"/>
    </w:pPr>
  </w:p>
  <w:p w14:paraId="1D49EDF1" w14:textId="77777777" w:rsidR="00C50611" w:rsidRPr="00B754D5" w:rsidRDefault="00C50611" w:rsidP="00CB0C4F">
    <w:pPr>
      <w:widowControl/>
      <w:tabs>
        <w:tab w:val="center" w:pos="4320"/>
        <w:tab w:val="right" w:pos="8640"/>
      </w:tabs>
      <w:spacing w:after="60"/>
      <w:ind w:left="709"/>
      <w:jc w:val="both"/>
      <w:rPr>
        <w:rFonts w:eastAsia="Times New Roman" w:cs="Times New Roman"/>
        <w:b/>
        <w:szCs w:val="24"/>
        <w:lang w:val="en-GB"/>
      </w:rPr>
    </w:pPr>
    <w:r w:rsidRPr="00B754D5">
      <w:rPr>
        <w:rFonts w:eastAsia="Times New Roman" w:cs="Times New Roman"/>
        <w:noProof/>
        <w:szCs w:val="24"/>
        <w:lang w:val="en-GB" w:eastAsia="en-GB"/>
      </w:rPr>
      <w:drawing>
        <wp:anchor distT="0" distB="0" distL="114300" distR="114300" simplePos="0" relativeHeight="251659264" behindDoc="1" locked="0" layoutInCell="1" allowOverlap="1" wp14:anchorId="5DEFD9F3" wp14:editId="55891525">
          <wp:simplePos x="0" y="0"/>
          <wp:positionH relativeFrom="column">
            <wp:posOffset>4867275</wp:posOffset>
          </wp:positionH>
          <wp:positionV relativeFrom="paragraph">
            <wp:posOffset>51435</wp:posOffset>
          </wp:positionV>
          <wp:extent cx="1581150" cy="96202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RSM logo 168x168 pixels.jpg"/>
                  <pic:cNvPicPr/>
                </pic:nvPicPr>
                <pic:blipFill rotWithShape="1">
                  <a:blip r:embed="rId1">
                    <a:extLst>
                      <a:ext uri="{28A0092B-C50C-407E-A947-70E740481C1C}">
                        <a14:useLocalDpi xmlns:a14="http://schemas.microsoft.com/office/drawing/2010/main" val="0"/>
                      </a:ext>
                    </a:extLst>
                  </a:blip>
                  <a:srcRect t="17411" b="18749"/>
                  <a:stretch/>
                </pic:blipFill>
                <pic:spPr bwMode="auto">
                  <a:xfrm>
                    <a:off x="0" y="0"/>
                    <a:ext cx="158115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3A04B4" w14:textId="77777777" w:rsidR="00C50611" w:rsidRPr="00B754D5" w:rsidRDefault="00C50611" w:rsidP="00CB0C4F">
    <w:pPr>
      <w:spacing w:before="0" w:after="0" w:line="198" w:lineRule="exact"/>
      <w:ind w:left="20"/>
      <w:rPr>
        <w:rFonts w:ascii="Prelo Bold" w:hAnsi="Calibri" w:cs="Times New Roman"/>
        <w:b/>
        <w:color w:val="848688"/>
        <w:spacing w:val="4"/>
        <w:w w:val="95"/>
        <w:szCs w:val="22"/>
      </w:rPr>
    </w:pPr>
  </w:p>
  <w:p w14:paraId="24D3322D" w14:textId="77777777" w:rsidR="00C50611" w:rsidRPr="00B754D5" w:rsidRDefault="00C50611" w:rsidP="00CB0C4F">
    <w:pPr>
      <w:spacing w:before="0" w:after="0" w:line="198" w:lineRule="exact"/>
      <w:ind w:left="20"/>
      <w:rPr>
        <w:rFonts w:ascii="Prelo Bold" w:hAnsi="Calibri" w:cs="Times New Roman"/>
        <w:b/>
        <w:color w:val="848688"/>
        <w:spacing w:val="4"/>
        <w:w w:val="95"/>
        <w:szCs w:val="22"/>
      </w:rPr>
    </w:pPr>
  </w:p>
  <w:p w14:paraId="5538B872" w14:textId="77777777" w:rsidR="00C50611" w:rsidRPr="00B754D5" w:rsidRDefault="00C50611" w:rsidP="00CB0C4F">
    <w:pPr>
      <w:spacing w:before="0" w:after="0" w:line="198" w:lineRule="exact"/>
      <w:ind w:left="20"/>
      <w:rPr>
        <w:rFonts w:ascii="Prelo Bold" w:eastAsia="Prelo Bold" w:hAnsi="Prelo Bold" w:cs="Prelo Bold"/>
      </w:rPr>
    </w:pPr>
    <w:r w:rsidRPr="00B754D5">
      <w:rPr>
        <w:rFonts w:ascii="Prelo Bold" w:hAnsi="Calibri" w:cs="Times New Roman"/>
        <w:b/>
        <w:color w:val="848688"/>
        <w:spacing w:val="4"/>
        <w:w w:val="95"/>
        <w:szCs w:val="22"/>
      </w:rPr>
      <w:t>THE</w:t>
    </w:r>
    <w:r w:rsidRPr="00B754D5">
      <w:rPr>
        <w:rFonts w:ascii="Prelo Bold" w:hAnsi="Calibri" w:cs="Times New Roman"/>
        <w:b/>
        <w:color w:val="848688"/>
        <w:spacing w:val="11"/>
        <w:w w:val="95"/>
        <w:szCs w:val="22"/>
      </w:rPr>
      <w:t xml:space="preserve"> </w:t>
    </w:r>
    <w:r w:rsidRPr="00B754D5">
      <w:rPr>
        <w:rFonts w:ascii="Prelo Bold" w:hAnsi="Calibri" w:cs="Times New Roman"/>
        <w:b/>
        <w:color w:val="848688"/>
        <w:spacing w:val="2"/>
        <w:w w:val="95"/>
        <w:szCs w:val="22"/>
      </w:rPr>
      <w:t>PO</w:t>
    </w:r>
    <w:r w:rsidRPr="00B754D5">
      <w:rPr>
        <w:rFonts w:ascii="Prelo Bold" w:hAnsi="Calibri" w:cs="Times New Roman"/>
        <w:b/>
        <w:color w:val="848688"/>
        <w:spacing w:val="1"/>
        <w:w w:val="95"/>
        <w:szCs w:val="22"/>
      </w:rPr>
      <w:t>W</w:t>
    </w:r>
    <w:r w:rsidRPr="00B754D5">
      <w:rPr>
        <w:rFonts w:ascii="Prelo Bold" w:hAnsi="Calibri" w:cs="Times New Roman"/>
        <w:b/>
        <w:color w:val="848688"/>
        <w:spacing w:val="2"/>
        <w:w w:val="95"/>
        <w:szCs w:val="22"/>
      </w:rPr>
      <w:t>ER</w:t>
    </w:r>
    <w:r w:rsidRPr="00B754D5">
      <w:rPr>
        <w:rFonts w:ascii="Prelo Bold" w:hAnsi="Calibri" w:cs="Times New Roman"/>
        <w:b/>
        <w:color w:val="848688"/>
        <w:spacing w:val="11"/>
        <w:w w:val="95"/>
        <w:szCs w:val="22"/>
      </w:rPr>
      <w:t xml:space="preserve"> </w:t>
    </w:r>
    <w:r w:rsidRPr="00B754D5">
      <w:rPr>
        <w:rFonts w:ascii="Prelo Bold" w:hAnsi="Calibri" w:cs="Times New Roman"/>
        <w:b/>
        <w:color w:val="848688"/>
        <w:spacing w:val="1"/>
        <w:w w:val="95"/>
        <w:szCs w:val="22"/>
      </w:rPr>
      <w:t>OF</w:t>
    </w:r>
    <w:r w:rsidRPr="00B754D5">
      <w:rPr>
        <w:rFonts w:ascii="Prelo Bold" w:hAnsi="Calibri" w:cs="Times New Roman"/>
        <w:b/>
        <w:color w:val="848688"/>
        <w:spacing w:val="12"/>
        <w:w w:val="95"/>
        <w:szCs w:val="22"/>
      </w:rPr>
      <w:t xml:space="preserve"> </w:t>
    </w:r>
    <w:r w:rsidRPr="00B754D5">
      <w:rPr>
        <w:rFonts w:ascii="Prelo Bold" w:hAnsi="Calibri" w:cs="Times New Roman"/>
        <w:b/>
        <w:color w:val="848688"/>
        <w:spacing w:val="4"/>
        <w:w w:val="95"/>
        <w:szCs w:val="22"/>
      </w:rPr>
      <w:t>BEING</w:t>
    </w:r>
    <w:r w:rsidRPr="00B754D5">
      <w:rPr>
        <w:rFonts w:ascii="Prelo Bold" w:hAnsi="Calibri" w:cs="Times New Roman"/>
        <w:b/>
        <w:color w:val="848688"/>
        <w:spacing w:val="11"/>
        <w:w w:val="95"/>
        <w:szCs w:val="22"/>
      </w:rPr>
      <w:t xml:space="preserve"> </w:t>
    </w:r>
    <w:r w:rsidRPr="00B754D5">
      <w:rPr>
        <w:rFonts w:ascii="Prelo Bold" w:hAnsi="Calibri" w:cs="Times New Roman"/>
        <w:b/>
        <w:color w:val="848688"/>
        <w:spacing w:val="3"/>
        <w:w w:val="95"/>
        <w:szCs w:val="22"/>
      </w:rPr>
      <w:t>UNDERST</w:t>
    </w:r>
    <w:r w:rsidRPr="00B754D5">
      <w:rPr>
        <w:rFonts w:ascii="Prelo Bold" w:hAnsi="Calibri" w:cs="Times New Roman"/>
        <w:b/>
        <w:color w:val="848688"/>
        <w:spacing w:val="2"/>
        <w:w w:val="95"/>
        <w:szCs w:val="22"/>
      </w:rPr>
      <w:t>OOD</w:t>
    </w:r>
  </w:p>
  <w:p w14:paraId="7C08CDEB" w14:textId="77777777" w:rsidR="00C50611" w:rsidRPr="00B754D5" w:rsidRDefault="00C50611" w:rsidP="00CB0C4F">
    <w:pPr>
      <w:spacing w:before="0" w:after="0" w:line="225" w:lineRule="exact"/>
      <w:ind w:left="20"/>
      <w:rPr>
        <w:rFonts w:ascii="Prelo Medium" w:eastAsia="Prelo Medium" w:hAnsi="Prelo Medium" w:cs="Times New Roman"/>
      </w:rPr>
    </w:pPr>
    <w:r w:rsidRPr="00B754D5">
      <w:rPr>
        <w:rFonts w:ascii="Prelo Medium" w:eastAsia="Prelo Medium" w:hAnsi="Prelo Medium" w:cs="Times New Roman"/>
        <w:color w:val="848688"/>
        <w:spacing w:val="2"/>
      </w:rPr>
      <w:t>AUDIT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rPr>
      <w: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spacing w:val="-4"/>
      </w:rPr>
      <w:t>TAX</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rPr>
      <w:t>|</w:t>
    </w:r>
    <w:r w:rsidRPr="00B754D5">
      <w:rPr>
        <w:rFonts w:ascii="Prelo Medium" w:eastAsia="Prelo Medium" w:hAnsi="Prelo Medium" w:cs="Times New Roman"/>
        <w:color w:val="848688"/>
        <w:spacing w:val="12"/>
      </w:rPr>
      <w:t xml:space="preserve"> </w:t>
    </w:r>
    <w:r w:rsidRPr="00B754D5">
      <w:rPr>
        <w:rFonts w:ascii="Prelo Medium" w:eastAsia="Prelo Medium" w:hAnsi="Prelo Medium" w:cs="Times New Roman"/>
        <w:color w:val="848688"/>
        <w:spacing w:val="-4"/>
      </w:rPr>
      <w:t>C</w:t>
    </w:r>
    <w:r w:rsidRPr="00B754D5">
      <w:rPr>
        <w:rFonts w:ascii="Prelo Medium" w:eastAsia="Prelo Medium" w:hAnsi="Prelo Medium" w:cs="Times New Roman"/>
        <w:color w:val="848688"/>
        <w:spacing w:val="3"/>
      </w:rPr>
      <w:t>O</w:t>
    </w:r>
    <w:r w:rsidRPr="00B754D5">
      <w:rPr>
        <w:rFonts w:ascii="Prelo Medium" w:eastAsia="Prelo Medium" w:hAnsi="Prelo Medium" w:cs="Times New Roman"/>
        <w:color w:val="848688"/>
        <w:spacing w:val="1"/>
      </w:rPr>
      <w:t>N</w:t>
    </w:r>
    <w:r w:rsidRPr="00B754D5">
      <w:rPr>
        <w:rFonts w:ascii="Prelo Medium" w:eastAsia="Prelo Medium" w:hAnsi="Prelo Medium" w:cs="Times New Roman"/>
        <w:color w:val="848688"/>
        <w:spacing w:val="6"/>
      </w:rPr>
      <w:t>SU</w:t>
    </w:r>
    <w:r w:rsidRPr="00B754D5">
      <w:rPr>
        <w:rFonts w:ascii="Prelo Medium" w:eastAsia="Prelo Medium" w:hAnsi="Prelo Medium" w:cs="Times New Roman"/>
        <w:color w:val="848688"/>
        <w:spacing w:val="-27"/>
      </w:rPr>
      <w:t>L</w:t>
    </w:r>
    <w:r w:rsidRPr="00B754D5">
      <w:rPr>
        <w:rFonts w:ascii="Prelo Medium" w:eastAsia="Prelo Medium" w:hAnsi="Prelo Medium" w:cs="Times New Roman"/>
        <w:color w:val="848688"/>
        <w:spacing w:val="6"/>
      </w:rPr>
      <w:t>TI</w:t>
    </w:r>
    <w:r w:rsidRPr="00B754D5">
      <w:rPr>
        <w:rFonts w:ascii="Prelo Medium" w:eastAsia="Prelo Medium" w:hAnsi="Prelo Medium" w:cs="Times New Roman"/>
        <w:color w:val="848688"/>
        <w:spacing w:val="3"/>
      </w:rPr>
      <w:t>N</w:t>
    </w:r>
    <w:r w:rsidRPr="00B754D5">
      <w:rPr>
        <w:rFonts w:ascii="Prelo Medium" w:eastAsia="Prelo Medium" w:hAnsi="Prelo Medium" w:cs="Times New Roman"/>
        <w:color w:val="848688"/>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4B71" w14:textId="77777777" w:rsidR="00C50611" w:rsidRPr="00B754D5" w:rsidRDefault="00C50611" w:rsidP="00CB0C4F">
    <w:pPr>
      <w:widowControl/>
      <w:tabs>
        <w:tab w:val="center" w:pos="4513"/>
        <w:tab w:val="right" w:pos="9026"/>
      </w:tabs>
      <w:spacing w:before="80" w:after="0" w:line="140" w:lineRule="atLeast"/>
      <w:rPr>
        <w:rFonts w:cs="Times New Roman"/>
        <w:sz w:val="12"/>
        <w:szCs w:val="22"/>
        <w:lang w:val="en-GB"/>
      </w:rPr>
    </w:pPr>
    <w:bookmarkStart w:id="8" w:name="bkmDisclaimer"/>
    <w:r w:rsidRPr="00B754D5">
      <w:rPr>
        <w:rFonts w:cs="Times New Roman"/>
        <w:sz w:val="12"/>
        <w:szCs w:val="22"/>
        <w:lang w:val="en-GB"/>
      </w:rPr>
      <w:t>The UK group of companies and LLPs trading as RSM is a member of the RSM network. RSM is the trading name used by the members of the RSM network. Each member of the RSM network is an independent accounting and consulting firm each of which practises in its own right. The RSM network is not itself a separate legal entity of any description in any jurisdiction. The RSM network is administered by RSM International Limited, a company registered in England and Wales (company number 4040598) whose registered office is at 50 Cannon Street, London EC4N 6JJ. The brand and trademark RSM and other intellectual property rights used by members of the network are owned by RSM International Association, an association governed by article 60 et seq of the Civil Code of Switzerland whose seat is in Zug.</w:t>
    </w:r>
  </w:p>
  <w:p w14:paraId="302104D2" w14:textId="77777777" w:rsidR="00C50611" w:rsidRPr="00B754D5" w:rsidRDefault="00C50611" w:rsidP="00CB0C4F">
    <w:pPr>
      <w:widowControl/>
      <w:tabs>
        <w:tab w:val="center" w:pos="4513"/>
        <w:tab w:val="right" w:pos="9026"/>
      </w:tabs>
      <w:spacing w:before="80" w:after="0" w:line="140" w:lineRule="atLeast"/>
      <w:rPr>
        <w:rFonts w:cs="Times New Roman"/>
        <w:sz w:val="12"/>
        <w:szCs w:val="22"/>
        <w:lang w:val="en-GB"/>
      </w:rPr>
    </w:pPr>
    <w:r w:rsidRPr="00B754D5">
      <w:rPr>
        <w:rFonts w:cs="Times New Roman"/>
        <w:sz w:val="12"/>
        <w:szCs w:val="22"/>
        <w:lang w:val="en-GB"/>
      </w:rPr>
      <w:t xml:space="preserve">RSM Corporate Finance LLP, RSM Restructuring Advisory LLP, RSM Risk Assurance Services LLP, RSM Tax and Advisory Services LLP, RSM UK Audit LLP, RSM UK Consulting LLP, RSM Employer Services Limited, RSM Northern Ireland (UK) Limited and RSM UK Tax and Accounting Limited are not authorised under the Financial Services and Markets Act 2000 but we are able in certain circumstances to offer a limited range of investment services because we are members of the Institute of Chartered Accountants in England and Wales.  We can provide these investment services if they are an incidental part of the professional services we have been engaged to provide. RSM Legal LLP is </w:t>
    </w:r>
    <w:r w:rsidRPr="00B754D5">
      <w:rPr>
        <w:rFonts w:eastAsia="Times New Roman"/>
        <w:sz w:val="12"/>
        <w:lang w:val="en" w:eastAsia="en-GB"/>
      </w:rPr>
      <w:t>authorised and regulated by the Solicitors Regulation Authority, reference number 626317, to undertake reserved and non-reserved legal activities. It</w:t>
    </w:r>
    <w:r w:rsidRPr="00B754D5">
      <w:rPr>
        <w:rFonts w:cs="Times New Roman"/>
        <w:sz w:val="12"/>
        <w:szCs w:val="22"/>
        <w:lang w:val="en-GB"/>
      </w:rPr>
      <w:t xml:space="preserve"> is not authorised under the Financial Services and Markets Act 2000 but is able in certain circumstances to offer a limited range of investment services because it is authorised and regulated by the Solicitors Regulation Authority and may provide investment services if they are an incidental part of the professional services that it has been engaged to provide. Baker Tilly Creditor Services LLP is authorised and regulated by the Financial Conduct Authority for credit-related regulated activities. RSM &amp; Co (UK) Limited is authorised and regulated by the Financial Conduct Authority to conduct a range of investment business activities. Before accepting an engagement, contact with the existing accountant will be made to request information on any matters of which, in the existing accountant’s opinion, the firm needs to be aware before deciding whether to accept the engagement.</w:t>
    </w:r>
  </w:p>
  <w:bookmarkEnd w:id="8"/>
  <w:p w14:paraId="7DC2ACCD" w14:textId="77777777" w:rsidR="00C50611" w:rsidRPr="00B754D5" w:rsidRDefault="00C50611" w:rsidP="00CB0C4F">
    <w:pPr>
      <w:widowControl/>
      <w:tabs>
        <w:tab w:val="center" w:pos="4320"/>
        <w:tab w:val="right" w:pos="8640"/>
      </w:tabs>
      <w:spacing w:after="60"/>
      <w:jc w:val="both"/>
      <w:rPr>
        <w:rFonts w:eastAsia="Times New Roman" w:cs="Times New Roman"/>
        <w:color w:val="000000"/>
        <w:szCs w:val="24"/>
        <w:lang w:val="en-IE"/>
      </w:rPr>
    </w:pPr>
  </w:p>
  <w:p w14:paraId="306C1D60" w14:textId="77777777" w:rsidR="00C50611" w:rsidRPr="00B754D5" w:rsidRDefault="00C50611" w:rsidP="00CB0C4F">
    <w:pPr>
      <w:widowControl/>
      <w:tabs>
        <w:tab w:val="center" w:pos="4513"/>
        <w:tab w:val="right" w:pos="9026"/>
      </w:tabs>
      <w:spacing w:before="80" w:after="0" w:line="140" w:lineRule="atLeast"/>
    </w:pPr>
    <w:r w:rsidRPr="00B754D5">
      <w:rPr>
        <w:rFonts w:cs="Times New Roman"/>
        <w:sz w:val="12"/>
        <w:szCs w:val="22"/>
        <w:lang w:val="en-GB"/>
      </w:rPr>
      <w:t>© 2017 RSM UK Group LLP, all rights reserved</w:t>
    </w:r>
  </w:p>
  <w:p w14:paraId="3EAFAABE" w14:textId="77777777" w:rsidR="00C50611" w:rsidRPr="00CB0C4F" w:rsidRDefault="00C50611" w:rsidP="00CB0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17251"/>
      <w:docPartObj>
        <w:docPartGallery w:val="Page Numbers (Bottom of Page)"/>
        <w:docPartUnique/>
      </w:docPartObj>
    </w:sdtPr>
    <w:sdtEndPr>
      <w:rPr>
        <w:noProof/>
      </w:rPr>
    </w:sdtEndPr>
    <w:sdtContent>
      <w:p w14:paraId="5652FBEB" w14:textId="29A98905" w:rsidR="00C50611" w:rsidRDefault="00C50611">
        <w:pPr>
          <w:pStyle w:val="Footer"/>
          <w:jc w:val="right"/>
        </w:pPr>
        <w:r>
          <w:fldChar w:fldCharType="begin"/>
        </w:r>
        <w:r>
          <w:instrText xml:space="preserve"> PAGE   \* MERGEFORMAT </w:instrText>
        </w:r>
        <w:r>
          <w:fldChar w:fldCharType="separate"/>
        </w:r>
        <w:r w:rsidR="00160C04">
          <w:rPr>
            <w:noProof/>
          </w:rPr>
          <w:t>45</w:t>
        </w:r>
        <w:r>
          <w:rPr>
            <w:noProof/>
          </w:rPr>
          <w:fldChar w:fldCharType="end"/>
        </w:r>
      </w:p>
    </w:sdtContent>
  </w:sdt>
  <w:p w14:paraId="48974741" w14:textId="77777777" w:rsidR="00C50611" w:rsidRPr="00E418CE" w:rsidRDefault="00C50611" w:rsidP="00E4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E2103" w14:textId="77777777" w:rsidR="00C50611" w:rsidRDefault="00C50611" w:rsidP="00C12727">
      <w:r>
        <w:separator/>
      </w:r>
    </w:p>
  </w:footnote>
  <w:footnote w:type="continuationSeparator" w:id="0">
    <w:p w14:paraId="0EC91B0F" w14:textId="77777777" w:rsidR="00C50611" w:rsidRDefault="00C50611" w:rsidP="00C12727">
      <w:r>
        <w:continuationSeparator/>
      </w:r>
    </w:p>
  </w:footnote>
  <w:footnote w:id="1">
    <w:p w14:paraId="6973D1F3" w14:textId="77777777" w:rsidR="00C50611" w:rsidRPr="007F11D5" w:rsidRDefault="00C50611" w:rsidP="00720CC0">
      <w:pPr>
        <w:pStyle w:val="FootnoteText"/>
        <w:rPr>
          <w:lang w:val="en-GB"/>
        </w:rPr>
      </w:pPr>
      <w:r>
        <w:rPr>
          <w:rStyle w:val="FootnoteReference"/>
        </w:rPr>
        <w:footnoteRef/>
      </w:r>
      <w:r>
        <w:t xml:space="preserve"> </w:t>
      </w:r>
      <w:r>
        <w:rPr>
          <w:lang w:val="en-GB"/>
        </w:rPr>
        <w:t xml:space="preserve">Idox (2017) Social Prescribing </w:t>
      </w:r>
    </w:p>
  </w:footnote>
  <w:footnote w:id="2">
    <w:p w14:paraId="1B4A3DC8" w14:textId="5E4FA027" w:rsidR="00C50611" w:rsidRPr="00CB709A" w:rsidRDefault="00C50611" w:rsidP="00720CC0">
      <w:pPr>
        <w:pStyle w:val="FootnoteText"/>
        <w:rPr>
          <w:lang w:val="en-GB"/>
        </w:rPr>
      </w:pPr>
      <w:r>
        <w:rPr>
          <w:rStyle w:val="FootnoteReference"/>
        </w:rPr>
        <w:footnoteRef/>
      </w:r>
      <w:r>
        <w:t xml:space="preserve"> </w:t>
      </w:r>
      <w:r w:rsidRPr="00CB709A">
        <w:t>Transformation Challenge Award of £650,000</w:t>
      </w:r>
      <w:r>
        <w:t xml:space="preserve"> and </w:t>
      </w:r>
      <w:r w:rsidRPr="00CB709A">
        <w:t>£660,000 of partnership funding from various statutory sector partners</w:t>
      </w:r>
    </w:p>
  </w:footnote>
  <w:footnote w:id="3">
    <w:p w14:paraId="0A30E7B8" w14:textId="77777777" w:rsidR="00C50611" w:rsidRPr="00ED3872" w:rsidRDefault="00C50611" w:rsidP="00720CC0">
      <w:pPr>
        <w:pStyle w:val="FootnoteText"/>
        <w:rPr>
          <w:lang w:val="en-GB"/>
        </w:rPr>
      </w:pPr>
      <w:r>
        <w:rPr>
          <w:rStyle w:val="FootnoteReference"/>
        </w:rPr>
        <w:footnoteRef/>
      </w:r>
      <w:r>
        <w:t xml:space="preserve"> </w:t>
      </w:r>
      <w:r>
        <w:rPr>
          <w:lang w:val="en-GB"/>
        </w:rPr>
        <w:t xml:space="preserve">This includes </w:t>
      </w:r>
      <w:r w:rsidRPr="00ED3872">
        <w:rPr>
          <w:lang w:val="en-GB"/>
        </w:rPr>
        <w:t>ECC commissioning funds for Provide to supply Level 2 conversations</w:t>
      </w:r>
      <w:r>
        <w:rPr>
          <w:lang w:val="en-GB"/>
        </w:rPr>
        <w:t xml:space="preserve"> in Mid Essex (net figure of </w:t>
      </w:r>
      <w:r w:rsidRPr="00E26757">
        <w:rPr>
          <w:lang w:val="en-GB"/>
        </w:rPr>
        <w:t>£16</w:t>
      </w:r>
      <w:r>
        <w:rPr>
          <w:lang w:val="en-GB"/>
        </w:rPr>
        <w:t>,</w:t>
      </w:r>
      <w:r w:rsidRPr="00E26757">
        <w:rPr>
          <w:lang w:val="en-GB"/>
        </w:rPr>
        <w:t>485</w:t>
      </w:r>
      <w:r>
        <w:rPr>
          <w:lang w:val="en-GB"/>
        </w:rPr>
        <w:t xml:space="preserve"> based on:  </w:t>
      </w:r>
      <w:r w:rsidRPr="00E26757">
        <w:rPr>
          <w:lang w:val="en-GB"/>
        </w:rPr>
        <w:t>1309 referrals x £15 (hourly rate including FCR elements) =  £19635</w:t>
      </w:r>
      <w:r>
        <w:rPr>
          <w:lang w:val="en-GB"/>
        </w:rPr>
        <w:t xml:space="preserve">; however </w:t>
      </w:r>
      <w:r w:rsidRPr="00E26757">
        <w:rPr>
          <w:lang w:val="en-GB"/>
        </w:rPr>
        <w:t>Provide</w:t>
      </w:r>
      <w:r>
        <w:rPr>
          <w:lang w:val="en-GB"/>
        </w:rPr>
        <w:t>’</w:t>
      </w:r>
      <w:r w:rsidRPr="00E26757">
        <w:rPr>
          <w:lang w:val="en-GB"/>
        </w:rPr>
        <w:t xml:space="preserve">s staff </w:t>
      </w:r>
      <w:r>
        <w:rPr>
          <w:lang w:val="en-GB"/>
        </w:rPr>
        <w:t xml:space="preserve">accessed </w:t>
      </w:r>
      <w:r w:rsidRPr="00E26757">
        <w:rPr>
          <w:lang w:val="en-GB"/>
        </w:rPr>
        <w:t xml:space="preserve">21 training places </w:t>
      </w:r>
      <w:r>
        <w:rPr>
          <w:lang w:val="en-GB"/>
        </w:rPr>
        <w:t>at</w:t>
      </w:r>
      <w:r w:rsidRPr="00E26757">
        <w:rPr>
          <w:lang w:val="en-GB"/>
        </w:rPr>
        <w:t xml:space="preserve"> £150 per place </w:t>
      </w:r>
      <w:r>
        <w:rPr>
          <w:lang w:val="en-GB"/>
        </w:rPr>
        <w:t>which equates to</w:t>
      </w:r>
      <w:r w:rsidRPr="00E26757">
        <w:rPr>
          <w:lang w:val="en-GB"/>
        </w:rPr>
        <w:t xml:space="preserve"> a costed benefit of £3150</w:t>
      </w:r>
      <w:r>
        <w:rPr>
          <w:lang w:val="en-GB"/>
        </w:rPr>
        <w:t xml:space="preserve"> = </w:t>
      </w:r>
      <w:r w:rsidRPr="00E26757">
        <w:rPr>
          <w:lang w:val="en-GB"/>
        </w:rPr>
        <w:t xml:space="preserve"> net figure of £16</w:t>
      </w:r>
      <w:r>
        <w:rPr>
          <w:lang w:val="en-GB"/>
        </w:rPr>
        <w:t>,</w:t>
      </w:r>
      <w:r w:rsidRPr="00E26757">
        <w:rPr>
          <w:lang w:val="en-GB"/>
        </w:rPr>
        <w:t>485</w:t>
      </w:r>
    </w:p>
  </w:footnote>
  <w:footnote w:id="4">
    <w:p w14:paraId="11362AF4" w14:textId="77777777" w:rsidR="00C50611" w:rsidRPr="00302354" w:rsidRDefault="00C50611" w:rsidP="00720CC0">
      <w:pPr>
        <w:pStyle w:val="FootnoteText"/>
        <w:rPr>
          <w:lang w:val="en-GB"/>
        </w:rPr>
      </w:pPr>
      <w:r>
        <w:rPr>
          <w:rStyle w:val="FootnoteReference"/>
        </w:rPr>
        <w:footnoteRef/>
      </w:r>
      <w:r>
        <w:t xml:space="preserve"> </w:t>
      </w:r>
      <w:r w:rsidRPr="00302354">
        <w:t>The Transformation Challenge Award is a challenge fund which makes £120 million grant (£15 million in 2014 to 2015 and £105 million in 2015 to 2016) and a £200 million facility to use the capital receipts from asset sales flexibly to support transformation, available to support local authorities re-engineer their business practices and redesign service delivery</w:t>
      </w:r>
    </w:p>
  </w:footnote>
  <w:footnote w:id="5">
    <w:p w14:paraId="661A9374" w14:textId="77777777" w:rsidR="00C50611" w:rsidRPr="00A86037" w:rsidRDefault="00C50611" w:rsidP="00720CC0">
      <w:pPr>
        <w:pStyle w:val="FootnoteText"/>
        <w:rPr>
          <w:lang w:val="en-GB"/>
        </w:rPr>
      </w:pPr>
      <w:r>
        <w:rPr>
          <w:rStyle w:val="FootnoteReference"/>
        </w:rPr>
        <w:footnoteRef/>
      </w:r>
      <w:r>
        <w:t xml:space="preserve"> </w:t>
      </w:r>
      <w:r>
        <w:rPr>
          <w:lang w:val="en-GB"/>
        </w:rPr>
        <w:t xml:space="preserve">Basildon and Brentwood; North East Essex; </w:t>
      </w:r>
    </w:p>
  </w:footnote>
  <w:footnote w:id="6">
    <w:p w14:paraId="6903A0F7" w14:textId="65C1CCA4" w:rsidR="00C50611" w:rsidRPr="00A86037" w:rsidRDefault="00C50611" w:rsidP="00720CC0">
      <w:pPr>
        <w:pStyle w:val="FootnoteText"/>
        <w:rPr>
          <w:lang w:val="en-GB"/>
        </w:rPr>
      </w:pPr>
      <w:r>
        <w:rPr>
          <w:rStyle w:val="FootnoteReference"/>
        </w:rPr>
        <w:footnoteRef/>
      </w:r>
      <w:r>
        <w:t xml:space="preserve"> </w:t>
      </w:r>
      <w:r>
        <w:rPr>
          <w:lang w:val="en-GB"/>
        </w:rPr>
        <w:t>North East Essex (Tendring District Council)</w:t>
      </w:r>
    </w:p>
  </w:footnote>
  <w:footnote w:id="7">
    <w:p w14:paraId="4B430E47" w14:textId="77777777" w:rsidR="00C50611" w:rsidRPr="00623DCA" w:rsidRDefault="00C50611" w:rsidP="00720CC0">
      <w:pPr>
        <w:pStyle w:val="FootnoteText"/>
        <w:rPr>
          <w:lang w:val="en-GB"/>
        </w:rPr>
      </w:pPr>
      <w:r>
        <w:rPr>
          <w:rStyle w:val="FootnoteReference"/>
        </w:rPr>
        <w:footnoteRef/>
      </w:r>
      <w:r>
        <w:t xml:space="preserve"> Social Prescription Business Case (June 2015)</w:t>
      </w:r>
    </w:p>
  </w:footnote>
  <w:footnote w:id="8">
    <w:p w14:paraId="66879EDF" w14:textId="77777777" w:rsidR="00C50611" w:rsidRPr="008B14B1" w:rsidRDefault="00C50611" w:rsidP="00720CC0">
      <w:pPr>
        <w:pStyle w:val="FootnoteText"/>
        <w:rPr>
          <w:lang w:val="en-GB"/>
        </w:rPr>
      </w:pPr>
      <w:r>
        <w:rPr>
          <w:rStyle w:val="FootnoteReference"/>
        </w:rPr>
        <w:footnoteRef/>
      </w:r>
      <w:r>
        <w:t xml:space="preserve"> R</w:t>
      </w:r>
      <w:r w:rsidRPr="008B14B1">
        <w:t>eferrals mi</w:t>
      </w:r>
      <w:r>
        <w:t>nus those that declined support</w:t>
      </w:r>
    </w:p>
  </w:footnote>
  <w:footnote w:id="9">
    <w:p w14:paraId="7BE6AC1F" w14:textId="77777777" w:rsidR="00C50611" w:rsidRPr="006A2860" w:rsidRDefault="00C50611" w:rsidP="00720CC0">
      <w:pPr>
        <w:pStyle w:val="FootnoteText"/>
        <w:rPr>
          <w:lang w:val="en-GB"/>
        </w:rPr>
      </w:pPr>
      <w:r>
        <w:rPr>
          <w:rStyle w:val="FootnoteReference"/>
        </w:rPr>
        <w:footnoteRef/>
      </w:r>
      <w:r>
        <w:t xml:space="preserve"> </w:t>
      </w:r>
      <w:r>
        <w:rPr>
          <w:lang w:val="en-GB"/>
        </w:rPr>
        <w:t xml:space="preserve">The Southend project completed an in house evaluation and was almost complete when RSM PACEC were appointed </w:t>
      </w:r>
    </w:p>
  </w:footnote>
  <w:footnote w:id="10">
    <w:p w14:paraId="5B661CAB" w14:textId="77777777" w:rsidR="00C50611" w:rsidRPr="006A2860" w:rsidRDefault="00C50611" w:rsidP="00720CC0">
      <w:pPr>
        <w:pStyle w:val="FootnoteText"/>
        <w:rPr>
          <w:lang w:val="en-GB"/>
        </w:rPr>
      </w:pPr>
      <w:r>
        <w:rPr>
          <w:rStyle w:val="FootnoteReference"/>
        </w:rPr>
        <w:footnoteRef/>
      </w:r>
      <w:r>
        <w:t xml:space="preserve"> I</w:t>
      </w:r>
      <w:r w:rsidRPr="006A2860">
        <w:t>t was not possible to conduct surveys or consultations with service users due to the vulnerable nature of the client group. This meant they often did not provide consent to speak with a third party organisation, or where consent was given, they did not wish to discuss their experience</w:t>
      </w:r>
    </w:p>
  </w:footnote>
  <w:footnote w:id="11">
    <w:p w14:paraId="7766AC40" w14:textId="77777777" w:rsidR="00C50611" w:rsidRPr="00680C48" w:rsidRDefault="00C50611" w:rsidP="00720CC0">
      <w:pPr>
        <w:pStyle w:val="FootnoteText"/>
        <w:rPr>
          <w:lang w:val="en-GB"/>
        </w:rPr>
      </w:pPr>
      <w:r>
        <w:rPr>
          <w:rStyle w:val="FootnoteReference"/>
        </w:rPr>
        <w:footnoteRef/>
      </w:r>
      <w:r>
        <w:t xml:space="preserve"> </w:t>
      </w:r>
      <w:r>
        <w:rPr>
          <w:lang w:val="en-GB"/>
        </w:rPr>
        <w:t xml:space="preserve">A ‘referral in’ refers to a referral made to a Social Prescribing project </w:t>
      </w:r>
    </w:p>
  </w:footnote>
  <w:footnote w:id="12">
    <w:p w14:paraId="38EB152D" w14:textId="77777777" w:rsidR="00C50611" w:rsidRPr="00500D23" w:rsidRDefault="00C50611" w:rsidP="00720CC0">
      <w:pPr>
        <w:pStyle w:val="FootnoteText"/>
        <w:rPr>
          <w:lang w:val="en-GB"/>
        </w:rPr>
      </w:pPr>
      <w:r>
        <w:rPr>
          <w:rStyle w:val="FootnoteReference"/>
        </w:rPr>
        <w:footnoteRef/>
      </w:r>
      <w:r>
        <w:t xml:space="preserve"> </w:t>
      </w:r>
      <w:r>
        <w:rPr>
          <w:lang w:val="en-GB"/>
        </w:rPr>
        <w:t xml:space="preserve">Basildon and Brentwood; Castle Point and Rochford; Mid Essex; and North East Essex My Social Prescription. West Essex has been excluded as it did not have a referral target </w:t>
      </w:r>
    </w:p>
  </w:footnote>
  <w:footnote w:id="13">
    <w:p w14:paraId="2D9837FD" w14:textId="77777777" w:rsidR="00C50611" w:rsidRPr="005478E1" w:rsidRDefault="00C50611" w:rsidP="00720CC0">
      <w:pPr>
        <w:pStyle w:val="FootnoteText"/>
        <w:rPr>
          <w:lang w:val="en-GB"/>
        </w:rPr>
      </w:pPr>
      <w:r>
        <w:rPr>
          <w:rStyle w:val="FootnoteReference"/>
        </w:rPr>
        <w:footnoteRef/>
      </w:r>
      <w:r>
        <w:t xml:space="preserve"> </w:t>
      </w:r>
      <w:r>
        <w:rPr>
          <w:lang w:val="en-GB"/>
        </w:rPr>
        <w:t xml:space="preserve">Dayson, Chris; Bennet, Ellen (2016) Evaluation of the Doncaster Social Prescribing Service: Understanding outcomes and impact </w:t>
      </w:r>
    </w:p>
  </w:footnote>
  <w:footnote w:id="14">
    <w:p w14:paraId="43A8BA2E" w14:textId="77777777" w:rsidR="00C50611" w:rsidRPr="005478E1" w:rsidRDefault="00C50611" w:rsidP="00720CC0">
      <w:pPr>
        <w:pStyle w:val="FootnoteText"/>
        <w:rPr>
          <w:lang w:val="en-GB"/>
        </w:rPr>
      </w:pPr>
      <w:r>
        <w:rPr>
          <w:rStyle w:val="FootnoteReference"/>
        </w:rPr>
        <w:footnoteRef/>
      </w:r>
      <w:r>
        <w:t xml:space="preserve"> Dayson, Chris; Bashir, Nadia (2014) The social and economic impact of the Rotherham Social Prescribing Pilot</w:t>
      </w:r>
    </w:p>
  </w:footnote>
  <w:footnote w:id="15">
    <w:p w14:paraId="3AFB4550" w14:textId="77777777" w:rsidR="00C50611" w:rsidRPr="005445AC" w:rsidRDefault="00C50611" w:rsidP="00720CC0">
      <w:pPr>
        <w:pStyle w:val="FootnoteText"/>
        <w:rPr>
          <w:lang w:val="en-GB"/>
        </w:rPr>
      </w:pPr>
      <w:r>
        <w:rPr>
          <w:rStyle w:val="FootnoteReference"/>
        </w:rPr>
        <w:footnoteRef/>
      </w:r>
      <w:r>
        <w:t xml:space="preserve"> Smart, Measurable, Achievable, Realistic and Timebound</w:t>
      </w:r>
    </w:p>
  </w:footnote>
  <w:footnote w:id="16">
    <w:p w14:paraId="549ED64B" w14:textId="77777777" w:rsidR="00C50611" w:rsidRPr="00BC5218" w:rsidRDefault="00C50611" w:rsidP="00720CC0">
      <w:pPr>
        <w:pStyle w:val="FootnoteText"/>
      </w:pPr>
      <w:r>
        <w:rPr>
          <w:rStyle w:val="FootnoteReference"/>
        </w:rPr>
        <w:footnoteRef/>
      </w:r>
      <w:r>
        <w:t xml:space="preserve"> </w:t>
      </w:r>
      <w:hyperlink r:id="rId1" w:history="1">
        <w:r w:rsidRPr="004E08EB">
          <w:rPr>
            <w:rStyle w:val="Hyperlink"/>
          </w:rPr>
          <w:t>https://www.england.nhs.uk/wp-content/uploads/2016/12/information-sharing-policy-v2-1.pdf</w:t>
        </w:r>
      </w:hyperlink>
    </w:p>
  </w:footnote>
  <w:footnote w:id="17">
    <w:p w14:paraId="6C8FD8FB" w14:textId="77777777" w:rsidR="00C50611" w:rsidRPr="00305409" w:rsidRDefault="00C50611" w:rsidP="00720CC0">
      <w:pPr>
        <w:pStyle w:val="FootnoteText"/>
      </w:pPr>
      <w:r>
        <w:rPr>
          <w:rStyle w:val="FootnoteReference"/>
        </w:rPr>
        <w:footnoteRef/>
      </w:r>
      <w:r>
        <w:t xml:space="preserve"> As the data is based on a small number of responses it may not necessarily be a true reflection of the entire programme. In addition, the evidence is based on service user self-reporting of health service use and therefore can be unreliable. </w:t>
      </w:r>
    </w:p>
  </w:footnote>
  <w:footnote w:id="18">
    <w:p w14:paraId="6583F7F0" w14:textId="77777777" w:rsidR="00C50611" w:rsidRPr="00202013" w:rsidRDefault="00C50611" w:rsidP="00720CC0">
      <w:pPr>
        <w:pStyle w:val="FootnoteText"/>
        <w:rPr>
          <w:lang w:val="en-GB"/>
        </w:rPr>
      </w:pPr>
      <w:r>
        <w:rPr>
          <w:rStyle w:val="FootnoteReference"/>
        </w:rPr>
        <w:footnoteRef/>
      </w:r>
      <w:r>
        <w:t xml:space="preserve"> Rotherham only reported on secondary care reductions (not able to include the same sentence / conclusion for GP hours or social care etc.); Rotherham had higher reductions in A+E attendances. </w:t>
      </w:r>
    </w:p>
  </w:footnote>
  <w:footnote w:id="19">
    <w:p w14:paraId="12CB9B9D" w14:textId="77777777" w:rsidR="00C50611" w:rsidRPr="00116A7E" w:rsidRDefault="00C50611" w:rsidP="00720CC0">
      <w:pPr>
        <w:pStyle w:val="FootnoteText"/>
        <w:rPr>
          <w:lang w:val="en-GB"/>
        </w:rPr>
      </w:pPr>
      <w:r>
        <w:rPr>
          <w:rStyle w:val="FootnoteReference"/>
        </w:rPr>
        <w:footnoteRef/>
      </w:r>
      <w:r>
        <w:t xml:space="preserve"> </w:t>
      </w:r>
      <w:r w:rsidRPr="00116A7E">
        <w:t>ONS categorises medium as a score of 5 – 6  for life satisfaction, worthwhile and happiness scores and 4 – 5 for anxiety scores</w:t>
      </w:r>
    </w:p>
  </w:footnote>
  <w:footnote w:id="20">
    <w:p w14:paraId="281D9F51" w14:textId="77777777" w:rsidR="00C50611" w:rsidRPr="0071155F" w:rsidRDefault="00C50611" w:rsidP="00720CC0">
      <w:pPr>
        <w:pStyle w:val="FootnoteText"/>
        <w:rPr>
          <w:lang w:val="en-GB"/>
        </w:rPr>
      </w:pPr>
      <w:r>
        <w:rPr>
          <w:rStyle w:val="FootnoteReference"/>
        </w:rPr>
        <w:footnoteRef/>
      </w:r>
      <w:r>
        <w:t xml:space="preserve"> </w:t>
      </w:r>
      <w:r w:rsidRPr="0071155F">
        <w:t>The NET cost avoidance values were established by calculating the difference between the activity reported at baseline and follow-up which was then multiplied by the fiscal value associated with that activity. For example, the difference in reported number of hours spent with the GP at baseline and follow-up was multiplied by the fiscal value for GP cost per hour. This takes into account both reductions and increases in service use reported to provide a net cost avoidance value.</w:t>
      </w:r>
    </w:p>
  </w:footnote>
  <w:footnote w:id="21">
    <w:p w14:paraId="1375B2A2" w14:textId="77777777" w:rsidR="00C50611" w:rsidRPr="003C61D9" w:rsidRDefault="00C50611" w:rsidP="00720CC0">
      <w:pPr>
        <w:pStyle w:val="FootnoteText"/>
        <w:rPr>
          <w:lang w:val="en-GB"/>
        </w:rPr>
      </w:pPr>
      <w:r>
        <w:rPr>
          <w:rStyle w:val="FootnoteReference"/>
        </w:rPr>
        <w:footnoteRef/>
      </w:r>
      <w:r>
        <w:t xml:space="preserve"> For GP hours this is based on 125 respondents as </w:t>
      </w:r>
      <w:r>
        <w:rPr>
          <w:lang w:val="en-GB"/>
        </w:rPr>
        <w:t>11 respondents did not provide the number of hours they spent with their GP</w:t>
      </w:r>
    </w:p>
  </w:footnote>
  <w:footnote w:id="22">
    <w:p w14:paraId="255299EA" w14:textId="77777777" w:rsidR="00C50611" w:rsidRPr="00BF00D5" w:rsidRDefault="00C50611" w:rsidP="00720CC0">
      <w:pPr>
        <w:pStyle w:val="FootnoteText"/>
        <w:rPr>
          <w:lang w:val="en-GB"/>
        </w:rPr>
      </w:pPr>
      <w:r>
        <w:rPr>
          <w:rStyle w:val="FootnoteReference"/>
        </w:rPr>
        <w:footnoteRef/>
      </w:r>
      <w:r>
        <w:t xml:space="preserve"> </w:t>
      </w:r>
      <w:r>
        <w:rPr>
          <w:lang w:val="en-GB"/>
        </w:rPr>
        <w:t>Two respondents did not provide the number of hours they spent with their GP</w:t>
      </w:r>
    </w:p>
  </w:footnote>
  <w:footnote w:id="23">
    <w:p w14:paraId="6CE76E29" w14:textId="77777777" w:rsidR="00C50611" w:rsidRPr="00A0730D" w:rsidRDefault="00C50611" w:rsidP="00720CC0">
      <w:pPr>
        <w:pStyle w:val="FootnoteText"/>
        <w:rPr>
          <w:lang w:val="en-GB"/>
        </w:rPr>
      </w:pPr>
      <w:r>
        <w:rPr>
          <w:rStyle w:val="FootnoteReference"/>
        </w:rPr>
        <w:footnoteRef/>
      </w:r>
      <w:r>
        <w:t xml:space="preserve"> QALYs </w:t>
      </w:r>
      <w:r w:rsidRPr="00A0730D">
        <w:t>combine length of life with a utility value for health related quality of life (HRQL)</w:t>
      </w:r>
    </w:p>
  </w:footnote>
  <w:footnote w:id="24">
    <w:p w14:paraId="712C5357" w14:textId="5D57F56B" w:rsidR="00F938AF" w:rsidRPr="008803B3" w:rsidRDefault="00F938AF">
      <w:pPr>
        <w:pStyle w:val="FootnoteText"/>
        <w:rPr>
          <w:lang w:val="en-GB"/>
        </w:rPr>
      </w:pPr>
      <w:r>
        <w:rPr>
          <w:rStyle w:val="FootnoteReference"/>
        </w:rPr>
        <w:footnoteRef/>
      </w:r>
      <w:r>
        <w:t xml:space="preserve"> </w:t>
      </w:r>
      <w:r w:rsidR="00A47DCB">
        <w:rPr>
          <w:lang w:val="en-GB"/>
        </w:rPr>
        <w:t xml:space="preserve">Relates to the five Social Prescribing </w:t>
      </w:r>
      <w:r w:rsidR="00A47DCB" w:rsidRPr="000715B8">
        <w:rPr>
          <w:lang w:val="en-GB"/>
        </w:rPr>
        <w:t xml:space="preserve">that were included in the </w:t>
      </w:r>
      <w:r w:rsidR="00A47DCB">
        <w:rPr>
          <w:lang w:val="en-GB"/>
        </w:rPr>
        <w:t xml:space="preserve">service </w:t>
      </w:r>
      <w:r w:rsidR="00A47DCB" w:rsidRPr="000715B8">
        <w:rPr>
          <w:lang w:val="en-GB"/>
        </w:rPr>
        <w:t>user survey</w:t>
      </w:r>
      <w:r w:rsidR="00A47DCB">
        <w:t xml:space="preserve">. </w:t>
      </w:r>
      <w:r w:rsidRPr="00F938AF">
        <w:t>The survey was completed with service users in Basildon and Brentwood (Social Prescribing project); Castle Point and Rochford (Ways to Wellness project); Mid Essex (Connect Well project); North East Colchester (My Social Prescription project); and West Essex (Smart Life project)</w:t>
      </w:r>
    </w:p>
  </w:footnote>
  <w:footnote w:id="25">
    <w:p w14:paraId="057A1807" w14:textId="77777777" w:rsidR="00C50611" w:rsidRPr="00A0730D" w:rsidRDefault="00C50611" w:rsidP="00720CC0">
      <w:pPr>
        <w:pStyle w:val="FootnoteText"/>
        <w:rPr>
          <w:lang w:val="en-GB"/>
        </w:rPr>
      </w:pPr>
      <w:r>
        <w:rPr>
          <w:rStyle w:val="FootnoteReference"/>
        </w:rPr>
        <w:footnoteRef/>
      </w:r>
      <w:r>
        <w:t xml:space="preserve"> </w:t>
      </w:r>
      <w:r w:rsidRPr="00A0730D">
        <w:t>The NHS values a QALY at between £20,000 and £30,000. This is the threshold for cost-ef</w:t>
      </w:r>
      <w:r>
        <w:t xml:space="preserve">fectiveness recommended by NICE. </w:t>
      </w:r>
      <w:r w:rsidRPr="00A0730D">
        <w:t xml:space="preserve">Taking the lower threshold value, this means that a £100,000 intervention can be considered cost-effective if it </w:t>
      </w:r>
      <w:r>
        <w:t>generates five additional QALYs</w:t>
      </w:r>
    </w:p>
  </w:footnote>
  <w:footnote w:id="26">
    <w:p w14:paraId="0849DB90" w14:textId="79228338" w:rsidR="00C50611" w:rsidRPr="008803B3" w:rsidRDefault="00C50611">
      <w:pPr>
        <w:pStyle w:val="FootnoteText"/>
        <w:rPr>
          <w:lang w:val="en-GB"/>
        </w:rPr>
      </w:pPr>
      <w:r>
        <w:rPr>
          <w:rStyle w:val="FootnoteReference"/>
        </w:rPr>
        <w:footnoteRef/>
      </w:r>
      <w:r>
        <w:t xml:space="preserve"> </w:t>
      </w:r>
      <w:r>
        <w:rPr>
          <w:lang w:val="en-GB"/>
        </w:rPr>
        <w:t xml:space="preserve">Relates to the five Social Prescribing </w:t>
      </w:r>
      <w:r w:rsidRPr="000715B8">
        <w:rPr>
          <w:lang w:val="en-GB"/>
        </w:rPr>
        <w:t xml:space="preserve">that were included in the </w:t>
      </w:r>
      <w:r>
        <w:rPr>
          <w:lang w:val="en-GB"/>
        </w:rPr>
        <w:t xml:space="preserve">service </w:t>
      </w:r>
      <w:r w:rsidRPr="000715B8">
        <w:rPr>
          <w:lang w:val="en-GB"/>
        </w:rPr>
        <w:t>user survey</w:t>
      </w:r>
    </w:p>
  </w:footnote>
  <w:footnote w:id="27">
    <w:p w14:paraId="37F88535" w14:textId="2709BDBC" w:rsidR="00C50611" w:rsidRPr="00500D23" w:rsidRDefault="00C50611" w:rsidP="00720CC0">
      <w:pPr>
        <w:pStyle w:val="FootnoteText"/>
        <w:rPr>
          <w:lang w:val="en-GB"/>
        </w:rPr>
      </w:pPr>
      <w:r w:rsidRPr="00C507BA">
        <w:rPr>
          <w:rStyle w:val="FootnoteReference"/>
        </w:rPr>
        <w:footnoteRef/>
      </w:r>
      <w:r w:rsidRPr="00C507BA">
        <w:t xml:space="preserve"> </w:t>
      </w:r>
      <w:r w:rsidRPr="00C507BA">
        <w:rPr>
          <w:lang w:val="en-GB"/>
        </w:rPr>
        <w:t xml:space="preserve">Basildon and Brentwood; Castle </w:t>
      </w:r>
      <w:r>
        <w:rPr>
          <w:lang w:val="en-GB"/>
        </w:rPr>
        <w:t>Point and Rochford; Mid Essex;</w:t>
      </w:r>
      <w:r w:rsidRPr="00C507BA">
        <w:rPr>
          <w:lang w:val="en-GB"/>
        </w:rPr>
        <w:t xml:space="preserve"> North East Essex My Social Prescription</w:t>
      </w:r>
      <w:r>
        <w:rPr>
          <w:lang w:val="en-GB"/>
        </w:rPr>
        <w:t xml:space="preserve"> and Southend</w:t>
      </w:r>
      <w:r w:rsidRPr="00C507BA">
        <w:rPr>
          <w:lang w:val="en-GB"/>
        </w:rPr>
        <w:t>. West Essex has not been excluded as no referral target was set</w:t>
      </w:r>
      <w:r>
        <w:rPr>
          <w:lang w:val="en-GB"/>
        </w:rPr>
        <w:t>; Tendring has been excluded as participant numbers were not available for this evaluation</w:t>
      </w:r>
    </w:p>
  </w:footnote>
  <w:footnote w:id="28">
    <w:p w14:paraId="541B12BA" w14:textId="77777777" w:rsidR="00C50611" w:rsidRPr="00B3780A" w:rsidRDefault="00C50611" w:rsidP="00720CC0">
      <w:pPr>
        <w:pStyle w:val="FootnoteText"/>
        <w:rPr>
          <w:lang w:val="en-GB"/>
        </w:rPr>
      </w:pPr>
      <w:r>
        <w:rPr>
          <w:rStyle w:val="FootnoteReference"/>
        </w:rPr>
        <w:footnoteRef/>
      </w:r>
      <w:r>
        <w:t xml:space="preserve"> </w:t>
      </w:r>
      <w:r w:rsidRPr="005D3808">
        <w:t xml:space="preserve">Total expenditure for the Southend project was £54k; of this £8,370 which was the cost of the Quality for Health licences/ information from </w:t>
      </w:r>
      <w:r>
        <w:t>SAVS</w:t>
      </w:r>
      <w:r w:rsidRPr="005D3808">
        <w:t xml:space="preserve"> indicates that a least 50% of the time and resources were spent on the Quality for Health/VCS capacity building element of the project.  Therefore the amount allocated to the Social Prescription element is £22,815</w:t>
      </w:r>
    </w:p>
  </w:footnote>
  <w:footnote w:id="29">
    <w:p w14:paraId="020E03BD" w14:textId="77777777" w:rsidR="00C50611" w:rsidRPr="007F11D5" w:rsidRDefault="00C50611">
      <w:pPr>
        <w:pStyle w:val="FootnoteText"/>
        <w:rPr>
          <w:lang w:val="en-GB"/>
        </w:rPr>
      </w:pPr>
      <w:r>
        <w:rPr>
          <w:rStyle w:val="FootnoteReference"/>
        </w:rPr>
        <w:footnoteRef/>
      </w:r>
      <w:r>
        <w:t xml:space="preserve"> </w:t>
      </w:r>
      <w:r>
        <w:rPr>
          <w:lang w:val="en-GB"/>
        </w:rPr>
        <w:t xml:space="preserve">Idox (2017) Social Prescribing </w:t>
      </w:r>
    </w:p>
  </w:footnote>
  <w:footnote w:id="30">
    <w:p w14:paraId="6EB215F1" w14:textId="77777777" w:rsidR="00C50611" w:rsidRPr="006470B3" w:rsidRDefault="00C50611" w:rsidP="00BB663F">
      <w:pPr>
        <w:pStyle w:val="FootnoteText"/>
        <w:rPr>
          <w:lang w:val="en-GB"/>
        </w:rPr>
      </w:pPr>
      <w:r>
        <w:rPr>
          <w:rStyle w:val="FootnoteReference"/>
        </w:rPr>
        <w:footnoteRef/>
      </w:r>
      <w:r>
        <w:t xml:space="preserve"> Report of t</w:t>
      </w:r>
      <w:r w:rsidRPr="006470B3">
        <w:t>he Annual Social Prescribing Network Conference</w:t>
      </w:r>
      <w:r>
        <w:t xml:space="preserve"> (2016)</w:t>
      </w:r>
    </w:p>
  </w:footnote>
  <w:footnote w:id="31">
    <w:p w14:paraId="4100A5CE" w14:textId="77777777" w:rsidR="00C50611" w:rsidRPr="00BB663F" w:rsidRDefault="00C50611">
      <w:pPr>
        <w:pStyle w:val="FootnoteText"/>
        <w:rPr>
          <w:lang w:val="en-GB"/>
        </w:rPr>
      </w:pPr>
      <w:r>
        <w:rPr>
          <w:rStyle w:val="FootnoteReference"/>
        </w:rPr>
        <w:footnoteRef/>
      </w:r>
      <w:r>
        <w:t xml:space="preserve"> Kinsella, Sarah (2015) </w:t>
      </w:r>
      <w:r w:rsidRPr="00BB663F">
        <w:t>Social Prescribing</w:t>
      </w:r>
      <w:r>
        <w:t xml:space="preserve">: A Review of the Evidence  </w:t>
      </w:r>
      <w:r>
        <w:tab/>
      </w:r>
    </w:p>
  </w:footnote>
  <w:footnote w:id="32">
    <w:p w14:paraId="50E5A5EE" w14:textId="77777777" w:rsidR="00C50611" w:rsidRPr="00204715" w:rsidRDefault="00C50611">
      <w:pPr>
        <w:pStyle w:val="FootnoteText"/>
        <w:rPr>
          <w:lang w:val="en-GB"/>
        </w:rPr>
      </w:pPr>
      <w:r>
        <w:rPr>
          <w:rStyle w:val="FootnoteReference"/>
        </w:rPr>
        <w:footnoteRef/>
      </w:r>
      <w:r>
        <w:t xml:space="preserve"> </w:t>
      </w:r>
      <w:r>
        <w:rPr>
          <w:lang w:val="en-GB"/>
        </w:rPr>
        <w:t>Idox (2017) Social Prescribing</w:t>
      </w:r>
    </w:p>
  </w:footnote>
  <w:footnote w:id="33">
    <w:p w14:paraId="151B69FD" w14:textId="77777777" w:rsidR="00C50611" w:rsidRPr="001D2373" w:rsidRDefault="00C50611" w:rsidP="003E1B81">
      <w:pPr>
        <w:pStyle w:val="FootnoteText"/>
        <w:rPr>
          <w:lang w:val="en-GB"/>
        </w:rPr>
      </w:pPr>
      <w:r>
        <w:rPr>
          <w:rStyle w:val="FootnoteReference"/>
        </w:rPr>
        <w:footnoteRef/>
      </w:r>
      <w:r>
        <w:t xml:space="preserve"> </w:t>
      </w:r>
      <w:r>
        <w:rPr>
          <w:lang w:val="en-GB"/>
        </w:rPr>
        <w:t xml:space="preserve">NESTA (2013) </w:t>
      </w:r>
      <w:r w:rsidRPr="001017CD">
        <w:rPr>
          <w:lang w:val="en-GB"/>
        </w:rPr>
        <w:t>More than medicine: new services for people powered health</w:t>
      </w:r>
    </w:p>
  </w:footnote>
  <w:footnote w:id="34">
    <w:p w14:paraId="57BDD02C" w14:textId="77777777" w:rsidR="00C50611" w:rsidRPr="007E704C" w:rsidRDefault="00C50611" w:rsidP="003E1B81">
      <w:pPr>
        <w:pStyle w:val="FootnoteText"/>
        <w:rPr>
          <w:lang w:val="en-GB"/>
        </w:rPr>
      </w:pPr>
      <w:r>
        <w:rPr>
          <w:rStyle w:val="FootnoteReference"/>
        </w:rPr>
        <w:footnoteRef/>
      </w:r>
      <w:r>
        <w:t xml:space="preserve"> </w:t>
      </w:r>
      <w:r>
        <w:rPr>
          <w:lang w:val="en-GB"/>
        </w:rPr>
        <w:t>People powered health refers to integrating and promoting</w:t>
      </w:r>
      <w:r w:rsidRPr="007E704C">
        <w:rPr>
          <w:lang w:val="en-GB"/>
        </w:rPr>
        <w:t xml:space="preserve"> community-based services into health and social care</w:t>
      </w:r>
      <w:r>
        <w:rPr>
          <w:lang w:val="en-GB"/>
        </w:rPr>
        <w:t xml:space="preserve">; the research refers to three specific elements to achieve this: Social Prescribing, signposting and community-based services </w:t>
      </w:r>
    </w:p>
  </w:footnote>
  <w:footnote w:id="35">
    <w:p w14:paraId="27E809D8" w14:textId="77777777" w:rsidR="00C50611" w:rsidRPr="005013BE" w:rsidRDefault="00C50611">
      <w:pPr>
        <w:pStyle w:val="FootnoteText"/>
        <w:rPr>
          <w:lang w:val="en-GB"/>
        </w:rPr>
      </w:pPr>
      <w:r>
        <w:rPr>
          <w:rStyle w:val="FootnoteReference"/>
        </w:rPr>
        <w:footnoteRef/>
      </w:r>
      <w:r>
        <w:t xml:space="preserve"> </w:t>
      </w:r>
      <w:r>
        <w:rPr>
          <w:lang w:val="en-GB"/>
        </w:rPr>
        <w:t>Idox (2017) Social Prescribing</w:t>
      </w:r>
    </w:p>
  </w:footnote>
  <w:footnote w:id="36">
    <w:p w14:paraId="0BCE5F7D" w14:textId="77777777" w:rsidR="00C50611" w:rsidRPr="001D2373" w:rsidRDefault="00C50611" w:rsidP="00E23731">
      <w:pPr>
        <w:pStyle w:val="FootnoteText"/>
        <w:rPr>
          <w:lang w:val="en-GB"/>
        </w:rPr>
      </w:pPr>
      <w:r>
        <w:rPr>
          <w:rStyle w:val="FootnoteReference"/>
        </w:rPr>
        <w:footnoteRef/>
      </w:r>
      <w:r>
        <w:t xml:space="preserve"> </w:t>
      </w:r>
      <w:r>
        <w:rPr>
          <w:lang w:val="en-GB"/>
        </w:rPr>
        <w:t xml:space="preserve">NESTA (2013) </w:t>
      </w:r>
      <w:r w:rsidRPr="001017CD">
        <w:rPr>
          <w:lang w:val="en-GB"/>
        </w:rPr>
        <w:t>More than medicine: new services for people powered health</w:t>
      </w:r>
    </w:p>
  </w:footnote>
  <w:footnote w:id="37">
    <w:p w14:paraId="073204D9" w14:textId="77777777" w:rsidR="00C50611" w:rsidRPr="008C0433" w:rsidRDefault="00C50611" w:rsidP="00701B6D">
      <w:pPr>
        <w:pStyle w:val="FootnoteText"/>
        <w:rPr>
          <w:lang w:val="en-GB"/>
        </w:rPr>
      </w:pPr>
      <w:r>
        <w:rPr>
          <w:rStyle w:val="FootnoteReference"/>
        </w:rPr>
        <w:footnoteRef/>
      </w:r>
      <w:r>
        <w:t xml:space="preserve"> </w:t>
      </w:r>
      <w:r>
        <w:rPr>
          <w:lang w:val="en-GB"/>
        </w:rPr>
        <w:t xml:space="preserve">Centre </w:t>
      </w:r>
      <w:r w:rsidRPr="008C0433">
        <w:rPr>
          <w:lang w:val="en-GB"/>
        </w:rPr>
        <w:t>f</w:t>
      </w:r>
      <w:r>
        <w:rPr>
          <w:lang w:val="en-GB"/>
        </w:rPr>
        <w:t xml:space="preserve">or Regional Economic and Social </w:t>
      </w:r>
      <w:r w:rsidRPr="008C0433">
        <w:rPr>
          <w:lang w:val="en-GB"/>
        </w:rPr>
        <w:t>Research (CRESR) (2016)</w:t>
      </w:r>
      <w:r w:rsidRPr="008C0433">
        <w:t xml:space="preserve"> </w:t>
      </w:r>
      <w:r w:rsidRPr="008C0433">
        <w:rPr>
          <w:lang w:val="en-GB"/>
        </w:rPr>
        <w:t>Evaluation of the Rotherham Mental</w:t>
      </w:r>
    </w:p>
    <w:p w14:paraId="24F0A26B" w14:textId="77777777" w:rsidR="00C50611" w:rsidRPr="008C0433" w:rsidRDefault="00C50611" w:rsidP="00701B6D">
      <w:pPr>
        <w:pStyle w:val="FootnoteText"/>
        <w:rPr>
          <w:lang w:val="en-GB"/>
        </w:rPr>
      </w:pPr>
      <w:r w:rsidRPr="008C0433">
        <w:rPr>
          <w:lang w:val="en-GB"/>
        </w:rPr>
        <w:t>Health Social Prescribing Pilot</w:t>
      </w:r>
    </w:p>
  </w:footnote>
  <w:footnote w:id="38">
    <w:p w14:paraId="3E93B571" w14:textId="77777777" w:rsidR="00C50611" w:rsidRPr="008C0433" w:rsidRDefault="00C50611">
      <w:pPr>
        <w:pStyle w:val="FootnoteText"/>
        <w:rPr>
          <w:lang w:val="en-GB"/>
        </w:rPr>
      </w:pPr>
      <w:r>
        <w:rPr>
          <w:rStyle w:val="FootnoteReference"/>
        </w:rPr>
        <w:footnoteRef/>
      </w:r>
      <w:r>
        <w:t xml:space="preserve"> </w:t>
      </w:r>
      <w:r>
        <w:rPr>
          <w:lang w:val="en-GB"/>
        </w:rPr>
        <w:t>Feeling positive; lifestyle; looking after yourself; managing symptoms; work, volunteering and other opportunities; money; where you live and family / friends.</w:t>
      </w:r>
    </w:p>
  </w:footnote>
  <w:footnote w:id="39">
    <w:p w14:paraId="43A49055" w14:textId="77777777" w:rsidR="00C50611" w:rsidRPr="006103C6" w:rsidRDefault="00C50611" w:rsidP="003E1B81">
      <w:pPr>
        <w:pStyle w:val="FootnoteText"/>
        <w:rPr>
          <w:lang w:val="en-GB"/>
        </w:rPr>
      </w:pPr>
      <w:r>
        <w:rPr>
          <w:rStyle w:val="FootnoteReference"/>
        </w:rPr>
        <w:footnoteRef/>
      </w:r>
      <w:r>
        <w:t xml:space="preserve"> Richardson G</w:t>
      </w:r>
      <w:r w:rsidRPr="009B664A">
        <w:t xml:space="preserve">, Kennedy A, Reeves D, Bower P, Lee V, Middleton E, Gardner C, Gately C, Rogers A. </w:t>
      </w:r>
      <w:r>
        <w:t>‘</w:t>
      </w:r>
      <w:r w:rsidRPr="006103C6">
        <w:t>Cost effectiveness of the Expert Patients Programme (EPP) for patients with chronic conditions</w:t>
      </w:r>
      <w:r>
        <w:t xml:space="preserve">’ </w:t>
      </w:r>
      <w:r w:rsidRPr="006103C6">
        <w:t>J Epidemiol Community Health  2008;62:361-367   doi:10.1136/jech.2006.057430</w:t>
      </w:r>
      <w:r>
        <w:t xml:space="preserve">. </w:t>
      </w:r>
      <w:r w:rsidRPr="009B664A">
        <w:t>The Expert Patients Programme (EPP)</w:t>
      </w:r>
      <w:r>
        <w:t xml:space="preserve"> </w:t>
      </w:r>
      <w:r w:rsidRPr="009B664A">
        <w:t>aims to deliver self-care support by developing peoples’ self-care skills, confidence and motivation to take more effective control over their long-term conditions</w:t>
      </w:r>
    </w:p>
  </w:footnote>
  <w:footnote w:id="40">
    <w:p w14:paraId="1B41F661" w14:textId="77777777" w:rsidR="00C50611" w:rsidRPr="002864CB" w:rsidRDefault="00C50611" w:rsidP="003E1B81">
      <w:pPr>
        <w:pStyle w:val="FootnoteText"/>
        <w:rPr>
          <w:lang w:val="en-GB"/>
        </w:rPr>
      </w:pPr>
      <w:r>
        <w:rPr>
          <w:rStyle w:val="FootnoteReference"/>
        </w:rPr>
        <w:footnoteRef/>
      </w:r>
      <w:r>
        <w:t xml:space="preserve"> </w:t>
      </w:r>
      <w:r>
        <w:rPr>
          <w:lang w:val="en-GB"/>
        </w:rPr>
        <w:t>Brandling, J and House, William ‘</w:t>
      </w:r>
      <w:r w:rsidRPr="002864CB">
        <w:rPr>
          <w:lang w:val="en-GB"/>
        </w:rPr>
        <w:t>Social prescribing in general practice: adding meaning to medicine</w:t>
      </w:r>
      <w:r>
        <w:rPr>
          <w:lang w:val="en-GB"/>
        </w:rPr>
        <w:t xml:space="preserve">’ </w:t>
      </w:r>
      <w:r w:rsidRPr="002864CB">
        <w:rPr>
          <w:lang w:val="en-GB"/>
        </w:rPr>
        <w:t>Br J Gen Pract</w:t>
      </w:r>
      <w:r>
        <w:rPr>
          <w:lang w:val="en-GB"/>
        </w:rPr>
        <w:t>. 2009 June 1; 59(563): 454–456</w:t>
      </w:r>
    </w:p>
  </w:footnote>
  <w:footnote w:id="41">
    <w:p w14:paraId="02748D22" w14:textId="77777777" w:rsidR="00C50611" w:rsidRPr="00CB709A" w:rsidRDefault="00C50611" w:rsidP="000C6A59">
      <w:pPr>
        <w:pStyle w:val="FootnoteText"/>
        <w:rPr>
          <w:lang w:val="en-GB"/>
        </w:rPr>
      </w:pPr>
      <w:r>
        <w:rPr>
          <w:rStyle w:val="FootnoteReference"/>
        </w:rPr>
        <w:footnoteRef/>
      </w:r>
      <w:r>
        <w:t xml:space="preserve"> </w:t>
      </w:r>
      <w:r w:rsidRPr="00CB709A">
        <w:t>Transformation Challenge Award of £650,000</w:t>
      </w:r>
      <w:r>
        <w:t xml:space="preserve"> and </w:t>
      </w:r>
      <w:r w:rsidRPr="00CB709A">
        <w:t>£660,000 of partnership funding from various statutory sector partners</w:t>
      </w:r>
    </w:p>
  </w:footnote>
  <w:footnote w:id="42">
    <w:p w14:paraId="4C571310" w14:textId="77777777" w:rsidR="00C50611" w:rsidRPr="00ED3872" w:rsidRDefault="00C50611" w:rsidP="000C6A59">
      <w:pPr>
        <w:pStyle w:val="FootnoteText"/>
        <w:rPr>
          <w:lang w:val="en-GB"/>
        </w:rPr>
      </w:pPr>
      <w:r>
        <w:rPr>
          <w:rStyle w:val="FootnoteReference"/>
        </w:rPr>
        <w:footnoteRef/>
      </w:r>
      <w:r>
        <w:t xml:space="preserve"> </w:t>
      </w:r>
      <w:r>
        <w:rPr>
          <w:lang w:val="en-GB"/>
        </w:rPr>
        <w:t xml:space="preserve">This includes </w:t>
      </w:r>
      <w:r w:rsidRPr="00ED3872">
        <w:rPr>
          <w:lang w:val="en-GB"/>
        </w:rPr>
        <w:t>ECC commissioning funds for Provide to supply Level 2 conversations</w:t>
      </w:r>
      <w:r>
        <w:rPr>
          <w:lang w:val="en-GB"/>
        </w:rPr>
        <w:t xml:space="preserve"> in Mid Essex (net figure of </w:t>
      </w:r>
      <w:r w:rsidRPr="00E26757">
        <w:rPr>
          <w:lang w:val="en-GB"/>
        </w:rPr>
        <w:t>£16</w:t>
      </w:r>
      <w:r>
        <w:rPr>
          <w:lang w:val="en-GB"/>
        </w:rPr>
        <w:t>,</w:t>
      </w:r>
      <w:r w:rsidRPr="00E26757">
        <w:rPr>
          <w:lang w:val="en-GB"/>
        </w:rPr>
        <w:t>485</w:t>
      </w:r>
      <w:r>
        <w:rPr>
          <w:lang w:val="en-GB"/>
        </w:rPr>
        <w:t xml:space="preserve"> based on:  </w:t>
      </w:r>
      <w:r w:rsidRPr="00E26757">
        <w:rPr>
          <w:lang w:val="en-GB"/>
        </w:rPr>
        <w:t>1309 referrals x £15 (hourly rate including FCR elements) =  £19635</w:t>
      </w:r>
      <w:r>
        <w:rPr>
          <w:lang w:val="en-GB"/>
        </w:rPr>
        <w:t xml:space="preserve">; however </w:t>
      </w:r>
      <w:r w:rsidRPr="00E26757">
        <w:rPr>
          <w:lang w:val="en-GB"/>
        </w:rPr>
        <w:t>Provide</w:t>
      </w:r>
      <w:r>
        <w:rPr>
          <w:lang w:val="en-GB"/>
        </w:rPr>
        <w:t>’</w:t>
      </w:r>
      <w:r w:rsidRPr="00E26757">
        <w:rPr>
          <w:lang w:val="en-GB"/>
        </w:rPr>
        <w:t xml:space="preserve">s staff </w:t>
      </w:r>
      <w:r>
        <w:rPr>
          <w:lang w:val="en-GB"/>
        </w:rPr>
        <w:t xml:space="preserve">accessed </w:t>
      </w:r>
      <w:r w:rsidRPr="00E26757">
        <w:rPr>
          <w:lang w:val="en-GB"/>
        </w:rPr>
        <w:t xml:space="preserve">21 training places </w:t>
      </w:r>
      <w:r>
        <w:rPr>
          <w:lang w:val="en-GB"/>
        </w:rPr>
        <w:t>at</w:t>
      </w:r>
      <w:r w:rsidRPr="00E26757">
        <w:rPr>
          <w:lang w:val="en-GB"/>
        </w:rPr>
        <w:t xml:space="preserve"> £150 per place </w:t>
      </w:r>
      <w:r>
        <w:rPr>
          <w:lang w:val="en-GB"/>
        </w:rPr>
        <w:t>which equates to</w:t>
      </w:r>
      <w:r w:rsidRPr="00E26757">
        <w:rPr>
          <w:lang w:val="en-GB"/>
        </w:rPr>
        <w:t xml:space="preserve"> a costed benefit of £3150</w:t>
      </w:r>
      <w:r>
        <w:rPr>
          <w:lang w:val="en-GB"/>
        </w:rPr>
        <w:t xml:space="preserve"> = </w:t>
      </w:r>
      <w:r w:rsidRPr="00E26757">
        <w:rPr>
          <w:lang w:val="en-GB"/>
        </w:rPr>
        <w:t xml:space="preserve"> net figure of £16</w:t>
      </w:r>
      <w:r>
        <w:rPr>
          <w:lang w:val="en-GB"/>
        </w:rPr>
        <w:t>,</w:t>
      </w:r>
      <w:r w:rsidRPr="00E26757">
        <w:rPr>
          <w:lang w:val="en-GB"/>
        </w:rPr>
        <w:t>485</w:t>
      </w:r>
    </w:p>
  </w:footnote>
  <w:footnote w:id="43">
    <w:p w14:paraId="4383321E" w14:textId="77777777" w:rsidR="00C50611" w:rsidRPr="00302354" w:rsidRDefault="00C50611" w:rsidP="000C6A59">
      <w:pPr>
        <w:pStyle w:val="FootnoteText"/>
        <w:rPr>
          <w:lang w:val="en-GB"/>
        </w:rPr>
      </w:pPr>
      <w:r>
        <w:rPr>
          <w:rStyle w:val="FootnoteReference"/>
        </w:rPr>
        <w:footnoteRef/>
      </w:r>
      <w:r>
        <w:t xml:space="preserve"> </w:t>
      </w:r>
      <w:r w:rsidRPr="00302354">
        <w:t>The Transformation Challenge Award is a challenge fund which makes £120 million grant (£15 million in 2014 to 2015 and £105 million in 2015 to 2016) and a £200 million facility to use the capital receipts from asset sales flexibly to support transformation, available to support local authorities re-engineer their business practices and redesign service delivery</w:t>
      </w:r>
    </w:p>
  </w:footnote>
  <w:footnote w:id="44">
    <w:p w14:paraId="1B26898F" w14:textId="77777777" w:rsidR="00C50611" w:rsidRPr="00A86037" w:rsidRDefault="00C50611" w:rsidP="000C6A59">
      <w:pPr>
        <w:pStyle w:val="FootnoteText"/>
        <w:rPr>
          <w:lang w:val="en-GB"/>
        </w:rPr>
      </w:pPr>
      <w:r>
        <w:rPr>
          <w:rStyle w:val="FootnoteReference"/>
        </w:rPr>
        <w:footnoteRef/>
      </w:r>
      <w:r>
        <w:t xml:space="preserve"> </w:t>
      </w:r>
      <w:r>
        <w:rPr>
          <w:lang w:val="en-GB"/>
        </w:rPr>
        <w:t xml:space="preserve">Basildon and Brentwood; North East Essex; </w:t>
      </w:r>
    </w:p>
  </w:footnote>
  <w:footnote w:id="45">
    <w:p w14:paraId="3077F291" w14:textId="77777777" w:rsidR="00C50611" w:rsidRPr="00A86037" w:rsidRDefault="00C50611" w:rsidP="000C6A59">
      <w:pPr>
        <w:pStyle w:val="FootnoteText"/>
        <w:rPr>
          <w:lang w:val="en-GB"/>
        </w:rPr>
      </w:pPr>
      <w:r>
        <w:rPr>
          <w:rStyle w:val="FootnoteReference"/>
        </w:rPr>
        <w:footnoteRef/>
      </w:r>
      <w:r>
        <w:t xml:space="preserve"> </w:t>
      </w:r>
      <w:r>
        <w:rPr>
          <w:lang w:val="en-GB"/>
        </w:rPr>
        <w:t>North East Essex (Tendring District Council)</w:t>
      </w:r>
    </w:p>
  </w:footnote>
  <w:footnote w:id="46">
    <w:p w14:paraId="5A40F07F" w14:textId="77777777" w:rsidR="00C50611" w:rsidRPr="00623DCA" w:rsidRDefault="00C50611" w:rsidP="009363A2">
      <w:pPr>
        <w:pStyle w:val="FootnoteText"/>
        <w:rPr>
          <w:lang w:val="en-GB"/>
        </w:rPr>
      </w:pPr>
      <w:r>
        <w:rPr>
          <w:rStyle w:val="FootnoteReference"/>
        </w:rPr>
        <w:footnoteRef/>
      </w:r>
      <w:r>
        <w:t xml:space="preserve"> Social Prescription Business Case (June 2015)</w:t>
      </w:r>
    </w:p>
  </w:footnote>
  <w:footnote w:id="47">
    <w:p w14:paraId="08570F6F" w14:textId="77777777" w:rsidR="00C50611" w:rsidRPr="008E7191" w:rsidRDefault="00C50611" w:rsidP="00162884">
      <w:pPr>
        <w:pStyle w:val="FootnoteText"/>
        <w:rPr>
          <w:lang w:val="en-GB"/>
        </w:rPr>
      </w:pPr>
      <w:r>
        <w:rPr>
          <w:rStyle w:val="FootnoteReference"/>
        </w:rPr>
        <w:footnoteRef/>
      </w:r>
      <w:r>
        <w:t xml:space="preserve"> </w:t>
      </w:r>
      <w:r w:rsidRPr="008E7191">
        <w:t xml:space="preserve">New Economy research helps agencies to identify the costs and benefits of new ways of working. </w:t>
      </w:r>
      <w:r>
        <w:t>Manchester New Economy has</w:t>
      </w:r>
      <w:r w:rsidRPr="008E7191">
        <w:t xml:space="preserve"> developed a Cost Benefit Analysis (CBA) model that can identify the fiscal, economic, and social value of project outcomes, and specify which public agency sees this benefit.</w:t>
      </w:r>
    </w:p>
  </w:footnote>
  <w:footnote w:id="48">
    <w:p w14:paraId="0EF7B9E4" w14:textId="77777777" w:rsidR="00C50611" w:rsidRPr="0012257C" w:rsidRDefault="00C50611">
      <w:pPr>
        <w:pStyle w:val="FootnoteText"/>
        <w:rPr>
          <w:lang w:val="en-GB"/>
        </w:rPr>
      </w:pPr>
      <w:r>
        <w:rPr>
          <w:rStyle w:val="FootnoteReference"/>
        </w:rPr>
        <w:footnoteRef/>
      </w:r>
      <w:r>
        <w:t xml:space="preserve"> </w:t>
      </w:r>
      <w:r w:rsidRPr="0012257C">
        <w:rPr>
          <w:lang w:val="en-GB"/>
        </w:rPr>
        <w:t>Basildon, Billericay and Wickford Council for Voluntary Service (BBWCVS)</w:t>
      </w:r>
      <w:r>
        <w:rPr>
          <w:lang w:val="en-GB"/>
        </w:rPr>
        <w:t xml:space="preserve">; Castle Point Association for Voluntary Services (CAVS); Provide; </w:t>
      </w:r>
      <w:r w:rsidRPr="0012257C">
        <w:rPr>
          <w:lang w:val="en-GB"/>
        </w:rPr>
        <w:t>Colchester Community Voluntary Services</w:t>
      </w:r>
      <w:r>
        <w:rPr>
          <w:lang w:val="en-GB"/>
        </w:rPr>
        <w:t xml:space="preserve"> (CCVS) (now Community 360); and Age UK Essex </w:t>
      </w:r>
    </w:p>
  </w:footnote>
  <w:footnote w:id="49">
    <w:p w14:paraId="50A32BE1" w14:textId="77777777" w:rsidR="00C50611" w:rsidRPr="00417375" w:rsidRDefault="00C50611" w:rsidP="00162884">
      <w:pPr>
        <w:pStyle w:val="FootnoteText"/>
        <w:rPr>
          <w:lang w:val="en-GB"/>
        </w:rPr>
      </w:pPr>
      <w:r>
        <w:rPr>
          <w:rStyle w:val="FootnoteReference"/>
        </w:rPr>
        <w:footnoteRef/>
      </w:r>
      <w:r>
        <w:t xml:space="preserve"> </w:t>
      </w:r>
      <w:r w:rsidRPr="00417375">
        <w:t>Social Prescribing Evaluation- Info</w:t>
      </w:r>
      <w:r>
        <w:t>rmation Governance principles, G</w:t>
      </w:r>
      <w:r w:rsidRPr="00417375">
        <w:t>uidance and Consent process</w:t>
      </w:r>
    </w:p>
  </w:footnote>
  <w:footnote w:id="50">
    <w:p w14:paraId="1ED73E97" w14:textId="77777777" w:rsidR="00C50611" w:rsidRPr="0012257C" w:rsidRDefault="00C50611">
      <w:pPr>
        <w:pStyle w:val="FootnoteText"/>
        <w:rPr>
          <w:lang w:val="en-GB"/>
        </w:rPr>
      </w:pPr>
      <w:r>
        <w:rPr>
          <w:rStyle w:val="FootnoteReference"/>
        </w:rPr>
        <w:footnoteRef/>
      </w:r>
      <w:r>
        <w:t xml:space="preserve"> </w:t>
      </w:r>
      <w:r w:rsidRPr="0012257C">
        <w:rPr>
          <w:lang w:val="en-GB"/>
        </w:rPr>
        <w:t>Basildon</w:t>
      </w:r>
      <w:r>
        <w:rPr>
          <w:lang w:val="en-GB"/>
        </w:rPr>
        <w:t xml:space="preserve"> and Brentwood; Mid Essex; and West Essex</w:t>
      </w:r>
    </w:p>
  </w:footnote>
  <w:footnote w:id="51">
    <w:p w14:paraId="4288F741" w14:textId="77777777" w:rsidR="00C50611" w:rsidRPr="0012257C" w:rsidRDefault="00C50611">
      <w:pPr>
        <w:pStyle w:val="FootnoteText"/>
        <w:rPr>
          <w:lang w:val="en-GB"/>
        </w:rPr>
      </w:pPr>
      <w:r>
        <w:rPr>
          <w:rStyle w:val="FootnoteReference"/>
        </w:rPr>
        <w:footnoteRef/>
      </w:r>
      <w:r>
        <w:t xml:space="preserve"> Castle Point and Rochford</w:t>
      </w:r>
      <w:r w:rsidRPr="0012257C">
        <w:t xml:space="preserve">; </w:t>
      </w:r>
      <w:r>
        <w:t>and</w:t>
      </w:r>
      <w:r w:rsidRPr="0012257C">
        <w:t xml:space="preserve"> </w:t>
      </w:r>
      <w:r>
        <w:t xml:space="preserve">North East Essex – Colchester </w:t>
      </w:r>
    </w:p>
  </w:footnote>
  <w:footnote w:id="52">
    <w:p w14:paraId="1B824EA2" w14:textId="77777777" w:rsidR="00C50611" w:rsidRPr="00257B47" w:rsidRDefault="00C50611" w:rsidP="0083508C">
      <w:pPr>
        <w:pStyle w:val="FootnoteText"/>
      </w:pPr>
      <w:r>
        <w:rPr>
          <w:rStyle w:val="FootnoteReference"/>
        </w:rPr>
        <w:footnoteRef/>
      </w:r>
      <w:r>
        <w:t xml:space="preserve"> Memorandum of Understanding between Basildon CCG and BBWVCS (September 2015)</w:t>
      </w:r>
    </w:p>
  </w:footnote>
  <w:footnote w:id="53">
    <w:p w14:paraId="710F6468" w14:textId="2F60F9E8" w:rsidR="00C50611" w:rsidRPr="00DA73B9" w:rsidRDefault="00C50611" w:rsidP="0083508C">
      <w:pPr>
        <w:pStyle w:val="FootnoteText"/>
      </w:pPr>
      <w:r>
        <w:rPr>
          <w:rStyle w:val="FootnoteReference"/>
        </w:rPr>
        <w:footnoteRef/>
      </w:r>
      <w:r>
        <w:t xml:space="preserve"> </w:t>
      </w:r>
      <w:r w:rsidRPr="00257B47">
        <w:t>Grant Agreement</w:t>
      </w:r>
      <w:r>
        <w:t xml:space="preserve"> from CCG</w:t>
      </w:r>
      <w:r w:rsidRPr="00257B47">
        <w:t>: Social Prescribing and Early Intervention for Adults Project (February 201</w:t>
      </w:r>
      <w:r>
        <w:t>6</w:t>
      </w:r>
      <w:r w:rsidRPr="00257B47">
        <w:t>)</w:t>
      </w:r>
    </w:p>
  </w:footnote>
  <w:footnote w:id="54">
    <w:p w14:paraId="768BD586" w14:textId="77777777" w:rsidR="00C50611" w:rsidRPr="00405D23" w:rsidRDefault="00C50611" w:rsidP="0083508C">
      <w:pPr>
        <w:pStyle w:val="FootnoteText"/>
        <w:rPr>
          <w:lang w:val="en-GB"/>
        </w:rPr>
      </w:pPr>
      <w:r>
        <w:rPr>
          <w:rStyle w:val="FootnoteReference"/>
        </w:rPr>
        <w:footnoteRef/>
      </w:r>
      <w:r>
        <w:t xml:space="preserve"> Grant Agreement between ECC and CAB Tendring (31 July 2015) </w:t>
      </w:r>
    </w:p>
  </w:footnote>
  <w:footnote w:id="55">
    <w:p w14:paraId="6D8B7DAC" w14:textId="77777777" w:rsidR="00C50611" w:rsidRPr="00405D23" w:rsidRDefault="00C50611" w:rsidP="0083508C">
      <w:pPr>
        <w:pStyle w:val="FootnoteText"/>
        <w:rPr>
          <w:lang w:val="en-GB"/>
        </w:rPr>
      </w:pPr>
      <w:r>
        <w:rPr>
          <w:rStyle w:val="FootnoteReference"/>
        </w:rPr>
        <w:footnoteRef/>
      </w:r>
      <w:r>
        <w:t xml:space="preserve"> </w:t>
      </w:r>
      <w:r>
        <w:rPr>
          <w:lang w:val="en-GB"/>
        </w:rPr>
        <w:t xml:space="preserve">Dates provided by CCVS to PACEC September 2016 </w:t>
      </w:r>
    </w:p>
  </w:footnote>
  <w:footnote w:id="56">
    <w:p w14:paraId="1B612367" w14:textId="35771610" w:rsidR="00C50611" w:rsidRPr="00E069A1" w:rsidRDefault="00C50611" w:rsidP="0083508C">
      <w:pPr>
        <w:pStyle w:val="FootnoteText"/>
        <w:rPr>
          <w:lang w:val="en-GB"/>
        </w:rPr>
      </w:pPr>
      <w:r>
        <w:rPr>
          <w:rStyle w:val="FootnoteReference"/>
        </w:rPr>
        <w:footnoteRef/>
      </w:r>
      <w:r>
        <w:t xml:space="preserve"> </w:t>
      </w:r>
      <w:r w:rsidRPr="009C57C3">
        <w:t xml:space="preserve">Start and end dates: mobilisation period was complete in March 2015 however the project did not go live until </w:t>
      </w:r>
      <w:r w:rsidRPr="00C26BF0">
        <w:t>July 2015</w:t>
      </w:r>
      <w:r w:rsidRPr="009C57C3">
        <w:t xml:space="preserve"> </w:t>
      </w:r>
      <w:r>
        <w:t>(Mid Essex</w:t>
      </w:r>
      <w:r w:rsidRPr="009C57C3">
        <w:t xml:space="preserve"> </w:t>
      </w:r>
      <w:r>
        <w:t>‘</w:t>
      </w:r>
      <w:r w:rsidRPr="009C57C3">
        <w:t>Hi</w:t>
      </w:r>
      <w:r>
        <w:t>gh Level Critical Path’ provided by Connect Well to RSM July 2016)</w:t>
      </w:r>
      <w:r w:rsidRPr="009C57C3">
        <w:t xml:space="preserve">.  </w:t>
      </w:r>
    </w:p>
  </w:footnote>
  <w:footnote w:id="57">
    <w:p w14:paraId="7897D9E4" w14:textId="77777777" w:rsidR="00C50611" w:rsidRPr="00272535" w:rsidRDefault="00C50611" w:rsidP="0083508C">
      <w:pPr>
        <w:pStyle w:val="FootnoteText"/>
        <w:rPr>
          <w:lang w:val="en-GB"/>
        </w:rPr>
      </w:pPr>
      <w:r>
        <w:rPr>
          <w:rStyle w:val="FootnoteReference"/>
        </w:rPr>
        <w:footnoteRef/>
      </w:r>
      <w:r>
        <w:t xml:space="preserve"> Dates provided to PACEC from Age UK Essex September 2016.  </w:t>
      </w:r>
    </w:p>
  </w:footnote>
  <w:footnote w:id="58">
    <w:p w14:paraId="748EF7DC" w14:textId="77777777" w:rsidR="00C50611" w:rsidRPr="003967AF" w:rsidRDefault="00C50611" w:rsidP="0083508C">
      <w:pPr>
        <w:pStyle w:val="FootnoteText"/>
        <w:rPr>
          <w:lang w:val="en-GB"/>
        </w:rPr>
      </w:pPr>
      <w:r>
        <w:rPr>
          <w:rStyle w:val="FootnoteReference"/>
        </w:rPr>
        <w:footnoteRef/>
      </w:r>
      <w:r>
        <w:t xml:space="preserve"> </w:t>
      </w:r>
      <w:r w:rsidRPr="003967AF">
        <w:t>Southend Association of Voluntary Services</w:t>
      </w:r>
      <w:r>
        <w:t xml:space="preserve"> (SAVS)</w:t>
      </w:r>
      <w:r w:rsidRPr="003967AF">
        <w:t xml:space="preserve"> (2016) Social Prescribing in Southend on Sea: Learning from the pilot</w:t>
      </w:r>
    </w:p>
  </w:footnote>
  <w:footnote w:id="59">
    <w:p w14:paraId="2BC7B2D3" w14:textId="631B6673" w:rsidR="00C50611" w:rsidRPr="00651B48" w:rsidRDefault="00C50611" w:rsidP="00760EA4">
      <w:pPr>
        <w:pStyle w:val="FootnoteText"/>
      </w:pPr>
      <w:r>
        <w:rPr>
          <w:rStyle w:val="FootnoteReference"/>
        </w:rPr>
        <w:footnoteRef/>
      </w:r>
      <w:r>
        <w:t xml:space="preserve"> Mid Essex Social Prescribing Project: An Overview (2015) / information provided by Connect Well Lead Programme Manager to RSM PACEC (June 2017)</w:t>
      </w:r>
    </w:p>
    <w:p w14:paraId="272424E4" w14:textId="77777777" w:rsidR="00C50611" w:rsidRPr="00411843" w:rsidRDefault="00C50611" w:rsidP="00760EA4">
      <w:pPr>
        <w:pStyle w:val="FootnoteText"/>
      </w:pPr>
    </w:p>
  </w:footnote>
  <w:footnote w:id="60">
    <w:p w14:paraId="30A8094F" w14:textId="77777777" w:rsidR="00C50611" w:rsidRPr="00651B48" w:rsidRDefault="00C50611" w:rsidP="00760EA4">
      <w:pPr>
        <w:pStyle w:val="FootnoteText"/>
        <w:rPr>
          <w:lang w:val="en-GB"/>
        </w:rPr>
      </w:pPr>
      <w:r>
        <w:rPr>
          <w:rStyle w:val="FootnoteReference"/>
        </w:rPr>
        <w:footnoteRef/>
      </w:r>
      <w:r>
        <w:t xml:space="preserve"> </w:t>
      </w:r>
      <w:r>
        <w:rPr>
          <w:lang w:val="en-GB"/>
        </w:rPr>
        <w:t>Information provided by ECC to RSM PACEC (June 2017)</w:t>
      </w:r>
    </w:p>
  </w:footnote>
  <w:footnote w:id="61">
    <w:p w14:paraId="3979E44E" w14:textId="47864520" w:rsidR="00C50611" w:rsidRPr="00403DB7" w:rsidRDefault="00C50611">
      <w:pPr>
        <w:pStyle w:val="FootnoteText"/>
        <w:rPr>
          <w:lang w:val="en-GB"/>
        </w:rPr>
      </w:pPr>
      <w:r>
        <w:rPr>
          <w:rStyle w:val="FootnoteReference"/>
        </w:rPr>
        <w:footnoteRef/>
      </w:r>
      <w:r>
        <w:t xml:space="preserve"> </w:t>
      </w:r>
      <w:r w:rsidRPr="00403DB7">
        <w:t xml:space="preserve">TCA and ECC Funding.  Funding in some areas is also provided by other sources, for example the CCG, an </w:t>
      </w:r>
      <w:r>
        <w:t>OPCC</w:t>
      </w:r>
      <w:r w:rsidRPr="00403DB7">
        <w:t xml:space="preserve"> grant and </w:t>
      </w:r>
      <w:r>
        <w:t>funds from the District Council</w:t>
      </w:r>
    </w:p>
  </w:footnote>
  <w:footnote w:id="62">
    <w:p w14:paraId="14385E8D" w14:textId="64D8B678" w:rsidR="00C50611" w:rsidRPr="00193A77" w:rsidRDefault="00C50611">
      <w:pPr>
        <w:pStyle w:val="FootnoteText"/>
        <w:rPr>
          <w:lang w:val="en-GB"/>
        </w:rPr>
      </w:pPr>
      <w:r>
        <w:rPr>
          <w:rStyle w:val="FootnoteReference"/>
        </w:rPr>
        <w:footnoteRef/>
      </w:r>
      <w:r>
        <w:t xml:space="preserve"> Pro Rata: </w:t>
      </w:r>
      <w:r w:rsidRPr="00193A77">
        <w:t>Project is provided with £5,416.67 per month = £</w:t>
      </w:r>
      <w:r>
        <w:t>70</w:t>
      </w:r>
      <w:r w:rsidRPr="00193A77">
        <w:t>,</w:t>
      </w:r>
      <w:r>
        <w:t>416.71</w:t>
      </w:r>
      <w:r w:rsidRPr="00193A77">
        <w:t xml:space="preserve"> (</w:t>
      </w:r>
      <w:r>
        <w:t>13 months February 2016</w:t>
      </w:r>
      <w:r w:rsidRPr="00193A77">
        <w:t xml:space="preserve">– </w:t>
      </w:r>
      <w:r>
        <w:t>31 March 2017</w:t>
      </w:r>
      <w:r w:rsidRPr="00193A77">
        <w:t>) plus £20,000 mobilisation fee</w:t>
      </w:r>
      <w:r>
        <w:t xml:space="preserve"> = £90,416.71</w:t>
      </w:r>
    </w:p>
  </w:footnote>
  <w:footnote w:id="63">
    <w:p w14:paraId="5190155F" w14:textId="7CA414CC" w:rsidR="00C50611" w:rsidRPr="00974A98" w:rsidRDefault="00C50611">
      <w:pPr>
        <w:pStyle w:val="FootnoteText"/>
        <w:rPr>
          <w:lang w:val="en-GB"/>
        </w:rPr>
      </w:pPr>
      <w:r>
        <w:rPr>
          <w:rStyle w:val="FootnoteReference"/>
        </w:rPr>
        <w:footnoteRef/>
      </w:r>
      <w:r>
        <w:t xml:space="preserve"> </w:t>
      </w:r>
      <w:r>
        <w:rPr>
          <w:lang w:val="en-GB"/>
        </w:rPr>
        <w:t xml:space="preserve">This also includes </w:t>
      </w:r>
      <w:r w:rsidRPr="00ED3872">
        <w:rPr>
          <w:lang w:val="en-GB"/>
        </w:rPr>
        <w:t>ECC commissioning funds for Provide to supply Level 2 conversations</w:t>
      </w:r>
      <w:r>
        <w:rPr>
          <w:lang w:val="en-GB"/>
        </w:rPr>
        <w:t xml:space="preserve"> in Mid Essex (net figure of </w:t>
      </w:r>
      <w:r w:rsidRPr="00E26757">
        <w:rPr>
          <w:lang w:val="en-GB"/>
        </w:rPr>
        <w:t>£16</w:t>
      </w:r>
      <w:r>
        <w:rPr>
          <w:lang w:val="en-GB"/>
        </w:rPr>
        <w:t>,</w:t>
      </w:r>
      <w:r w:rsidRPr="00E26757">
        <w:rPr>
          <w:lang w:val="en-GB"/>
        </w:rPr>
        <w:t>485</w:t>
      </w:r>
      <w:r>
        <w:rPr>
          <w:lang w:val="en-GB"/>
        </w:rPr>
        <w:t xml:space="preserve"> based on:   </w:t>
      </w:r>
      <w:r w:rsidRPr="00E26757">
        <w:rPr>
          <w:lang w:val="en-GB"/>
        </w:rPr>
        <w:t>1309 referrals x £15 (hourly rate including FCR elements) =  £19635</w:t>
      </w:r>
      <w:r>
        <w:rPr>
          <w:lang w:val="en-GB"/>
        </w:rPr>
        <w:t xml:space="preserve">; however </w:t>
      </w:r>
      <w:r w:rsidRPr="00E26757">
        <w:rPr>
          <w:lang w:val="en-GB"/>
        </w:rPr>
        <w:t>Provide</w:t>
      </w:r>
      <w:r>
        <w:rPr>
          <w:lang w:val="en-GB"/>
        </w:rPr>
        <w:t>’</w:t>
      </w:r>
      <w:r w:rsidRPr="00E26757">
        <w:rPr>
          <w:lang w:val="en-GB"/>
        </w:rPr>
        <w:t xml:space="preserve">s staff </w:t>
      </w:r>
      <w:r>
        <w:rPr>
          <w:lang w:val="en-GB"/>
        </w:rPr>
        <w:t xml:space="preserve">accessed </w:t>
      </w:r>
      <w:r w:rsidRPr="00E26757">
        <w:rPr>
          <w:lang w:val="en-GB"/>
        </w:rPr>
        <w:t xml:space="preserve">21 training places </w:t>
      </w:r>
      <w:r>
        <w:rPr>
          <w:lang w:val="en-GB"/>
        </w:rPr>
        <w:t>at</w:t>
      </w:r>
      <w:r w:rsidRPr="00E26757">
        <w:rPr>
          <w:lang w:val="en-GB"/>
        </w:rPr>
        <w:t xml:space="preserve"> £150 per place </w:t>
      </w:r>
      <w:r>
        <w:rPr>
          <w:lang w:val="en-GB"/>
        </w:rPr>
        <w:t>which equates to</w:t>
      </w:r>
      <w:r w:rsidRPr="00E26757">
        <w:rPr>
          <w:lang w:val="en-GB"/>
        </w:rPr>
        <w:t xml:space="preserve"> a costed benefit of £3150</w:t>
      </w:r>
      <w:r>
        <w:rPr>
          <w:lang w:val="en-GB"/>
        </w:rPr>
        <w:t xml:space="preserve"> = </w:t>
      </w:r>
      <w:r w:rsidRPr="00E26757">
        <w:rPr>
          <w:lang w:val="en-GB"/>
        </w:rPr>
        <w:t xml:space="preserve"> net figure of £16</w:t>
      </w:r>
      <w:r>
        <w:rPr>
          <w:lang w:val="en-GB"/>
        </w:rPr>
        <w:t>,</w:t>
      </w:r>
      <w:r w:rsidRPr="00E26757">
        <w:rPr>
          <w:lang w:val="en-GB"/>
        </w:rPr>
        <w:t>485</w:t>
      </w:r>
    </w:p>
  </w:footnote>
  <w:footnote w:id="64">
    <w:p w14:paraId="1F90C8A9" w14:textId="77777777" w:rsidR="00C50611" w:rsidRPr="00F531A7" w:rsidRDefault="00C50611">
      <w:pPr>
        <w:pStyle w:val="FootnoteText"/>
        <w:rPr>
          <w:lang w:val="en-GB"/>
        </w:rPr>
      </w:pPr>
      <w:r>
        <w:rPr>
          <w:rStyle w:val="FootnoteReference"/>
        </w:rPr>
        <w:footnoteRef/>
      </w:r>
      <w:r>
        <w:t xml:space="preserve"> </w:t>
      </w:r>
      <w:r>
        <w:rPr>
          <w:lang w:val="en-GB"/>
        </w:rPr>
        <w:t>In addition, 32 0</w:t>
      </w:r>
      <w:r w:rsidRPr="00E00979">
        <w:rPr>
          <w:lang w:val="en-GB"/>
        </w:rPr>
        <w:t>rg</w:t>
      </w:r>
      <w:r>
        <w:rPr>
          <w:lang w:val="en-GB"/>
        </w:rPr>
        <w:t xml:space="preserve">anisations </w:t>
      </w:r>
      <w:r w:rsidRPr="00E00979">
        <w:rPr>
          <w:lang w:val="en-GB"/>
        </w:rPr>
        <w:t xml:space="preserve">have </w:t>
      </w:r>
      <w:r>
        <w:rPr>
          <w:lang w:val="en-GB"/>
        </w:rPr>
        <w:t>provided ‘in kind’ support  by allowing</w:t>
      </w:r>
      <w:r w:rsidRPr="00E00979">
        <w:rPr>
          <w:lang w:val="en-GB"/>
        </w:rPr>
        <w:t xml:space="preserve"> staff to attend training for Social Prescribing Champions, provid</w:t>
      </w:r>
      <w:r>
        <w:rPr>
          <w:lang w:val="en-GB"/>
        </w:rPr>
        <w:t>ing</w:t>
      </w:r>
      <w:r w:rsidRPr="00E00979">
        <w:rPr>
          <w:lang w:val="en-GB"/>
        </w:rPr>
        <w:t xml:space="preserve"> training rooms and training resources </w:t>
      </w:r>
      <w:r>
        <w:rPr>
          <w:lang w:val="en-GB"/>
        </w:rPr>
        <w:t>and in some circumstances allowing</w:t>
      </w:r>
      <w:r w:rsidRPr="00E00979">
        <w:rPr>
          <w:lang w:val="en-GB"/>
        </w:rPr>
        <w:t xml:space="preserve"> staff to become trainers to maintain the model delivery for future staff</w:t>
      </w:r>
    </w:p>
  </w:footnote>
  <w:footnote w:id="65">
    <w:p w14:paraId="106ECB7F" w14:textId="77777777" w:rsidR="00C50611" w:rsidRPr="009921A9" w:rsidRDefault="00C50611">
      <w:pPr>
        <w:pStyle w:val="FootnoteText"/>
        <w:rPr>
          <w:lang w:val="en-GB"/>
        </w:rPr>
      </w:pPr>
      <w:r>
        <w:rPr>
          <w:rStyle w:val="FootnoteReference"/>
        </w:rPr>
        <w:footnoteRef/>
      </w:r>
      <w:r>
        <w:t xml:space="preserve"> </w:t>
      </w:r>
      <w:r>
        <w:rPr>
          <w:lang w:val="en-GB"/>
        </w:rPr>
        <w:t>Information provided by BBWCVS to RSM PACEC (June 2017); actual referrals: CCG monitoring report (March 2017)</w:t>
      </w:r>
    </w:p>
  </w:footnote>
  <w:footnote w:id="66">
    <w:p w14:paraId="05818149" w14:textId="77777777" w:rsidR="00C50611" w:rsidRPr="009921A9" w:rsidRDefault="00C50611">
      <w:pPr>
        <w:pStyle w:val="FootnoteText"/>
        <w:rPr>
          <w:lang w:val="en-GB"/>
        </w:rPr>
      </w:pPr>
      <w:r>
        <w:rPr>
          <w:rStyle w:val="FootnoteReference"/>
        </w:rPr>
        <w:footnoteRef/>
      </w:r>
      <w:r>
        <w:t xml:space="preserve"> </w:t>
      </w:r>
      <w:r>
        <w:rPr>
          <w:lang w:val="en-GB"/>
        </w:rPr>
        <w:t>Grant agreement between Castle Point and Rochford CCG and CAVS (February 2016); actual referrals: CCG monitoring report (March 2017)</w:t>
      </w:r>
    </w:p>
  </w:footnote>
  <w:footnote w:id="67">
    <w:p w14:paraId="54497F32" w14:textId="77777777" w:rsidR="00C50611" w:rsidRPr="009921A9" w:rsidRDefault="00C50611">
      <w:pPr>
        <w:pStyle w:val="FootnoteText"/>
        <w:rPr>
          <w:lang w:val="en-GB"/>
        </w:rPr>
      </w:pPr>
      <w:r>
        <w:rPr>
          <w:rStyle w:val="FootnoteReference"/>
        </w:rPr>
        <w:footnoteRef/>
      </w:r>
      <w:r>
        <w:t xml:space="preserve"> </w:t>
      </w:r>
      <w:r>
        <w:rPr>
          <w:lang w:val="en-GB"/>
        </w:rPr>
        <w:t>Information provided by Connect Well</w:t>
      </w:r>
      <w:r w:rsidRPr="009921A9">
        <w:t xml:space="preserve"> </w:t>
      </w:r>
      <w:r w:rsidRPr="009921A9">
        <w:rPr>
          <w:lang w:val="en-GB"/>
        </w:rPr>
        <w:t>Lead Programme Manager</w:t>
      </w:r>
      <w:r>
        <w:rPr>
          <w:lang w:val="en-GB"/>
        </w:rPr>
        <w:t xml:space="preserve"> to RSM PACEC (June 2017)</w:t>
      </w:r>
    </w:p>
  </w:footnote>
  <w:footnote w:id="68">
    <w:p w14:paraId="22A18B6A" w14:textId="77777777" w:rsidR="00C50611" w:rsidRPr="009921A9" w:rsidRDefault="00C50611">
      <w:pPr>
        <w:pStyle w:val="FootnoteText"/>
        <w:rPr>
          <w:lang w:val="en-GB"/>
        </w:rPr>
      </w:pPr>
      <w:r>
        <w:rPr>
          <w:rStyle w:val="FootnoteReference"/>
        </w:rPr>
        <w:footnoteRef/>
      </w:r>
      <w:r>
        <w:t xml:space="preserve"> </w:t>
      </w:r>
      <w:r>
        <w:rPr>
          <w:lang w:val="en-GB"/>
        </w:rPr>
        <w:t>Grant Agreement between ECC and CCVS (July 2015); actual referrals: Information provided by CCVS/Community 360 to RSM PACEC (June 2017)</w:t>
      </w:r>
    </w:p>
  </w:footnote>
  <w:footnote w:id="69">
    <w:p w14:paraId="2A6E2AB7" w14:textId="77777777" w:rsidR="00C50611" w:rsidRPr="009921A9" w:rsidRDefault="00C50611">
      <w:pPr>
        <w:pStyle w:val="FootnoteText"/>
        <w:rPr>
          <w:lang w:val="en-GB"/>
        </w:rPr>
      </w:pPr>
      <w:r>
        <w:rPr>
          <w:rStyle w:val="FootnoteReference"/>
        </w:rPr>
        <w:footnoteRef/>
      </w:r>
      <w:r>
        <w:t xml:space="preserve"> </w:t>
      </w:r>
      <w:r>
        <w:rPr>
          <w:lang w:val="en-GB"/>
        </w:rPr>
        <w:t>Information provided by Age UK Essex to RSM PACEC (June 2017)</w:t>
      </w:r>
    </w:p>
  </w:footnote>
  <w:footnote w:id="70">
    <w:p w14:paraId="5F6973B6" w14:textId="77777777" w:rsidR="00C50611" w:rsidRPr="009921A9" w:rsidRDefault="00C50611" w:rsidP="009921A9">
      <w:pPr>
        <w:pStyle w:val="FootnoteText"/>
      </w:pPr>
      <w:r>
        <w:rPr>
          <w:rStyle w:val="FootnoteReference"/>
        </w:rPr>
        <w:footnoteRef/>
      </w:r>
      <w:r>
        <w:t xml:space="preserve"> SAVS (May 2017) Social Prescribing in Southend on Sea: Learning from the pilot</w:t>
      </w:r>
    </w:p>
  </w:footnote>
  <w:footnote w:id="71">
    <w:p w14:paraId="6B890706" w14:textId="77777777" w:rsidR="00C50611" w:rsidRPr="009921A9" w:rsidRDefault="00C50611" w:rsidP="00A4634C">
      <w:pPr>
        <w:pStyle w:val="FootnoteText"/>
        <w:rPr>
          <w:lang w:val="en-GB"/>
        </w:rPr>
      </w:pPr>
      <w:r>
        <w:rPr>
          <w:rStyle w:val="FootnoteReference"/>
        </w:rPr>
        <w:footnoteRef/>
      </w:r>
      <w:r>
        <w:t xml:space="preserve"> </w:t>
      </w:r>
      <w:r>
        <w:rPr>
          <w:lang w:val="en-GB"/>
        </w:rPr>
        <w:t>Target 2016/17: 1,040 referrals; target 2017/18: 1,040 referrals. Pro rata = 1,040 + 1 month (1,040/12*1 = 87) = 1,127</w:t>
      </w:r>
    </w:p>
  </w:footnote>
  <w:footnote w:id="72">
    <w:p w14:paraId="02DF5F54" w14:textId="77777777" w:rsidR="00C50611" w:rsidRPr="00991588" w:rsidRDefault="00C50611" w:rsidP="00A4634C">
      <w:pPr>
        <w:pStyle w:val="FootnoteText"/>
        <w:rPr>
          <w:lang w:val="en-GB"/>
        </w:rPr>
      </w:pPr>
      <w:r>
        <w:rPr>
          <w:rStyle w:val="FootnoteReference"/>
        </w:rPr>
        <w:footnoteRef/>
      </w:r>
      <w:r>
        <w:t xml:space="preserve"> </w:t>
      </w:r>
      <w:r>
        <w:rPr>
          <w:lang w:val="en-GB"/>
        </w:rPr>
        <w:t>Annual Target: 270; 270/12 = 22.5 per month x 14 months of project delivery = 315</w:t>
      </w:r>
    </w:p>
  </w:footnote>
  <w:footnote w:id="73">
    <w:p w14:paraId="4E58CD97" w14:textId="77777777" w:rsidR="00C50611" w:rsidRPr="009921A9" w:rsidRDefault="00C50611">
      <w:pPr>
        <w:pStyle w:val="FootnoteText"/>
        <w:rPr>
          <w:lang w:val="en-GB"/>
        </w:rPr>
      </w:pPr>
      <w:r>
        <w:rPr>
          <w:rStyle w:val="FootnoteReference"/>
        </w:rPr>
        <w:footnoteRef/>
      </w:r>
      <w:r>
        <w:t xml:space="preserve"> </w:t>
      </w:r>
      <w:r>
        <w:rPr>
          <w:lang w:val="en-GB"/>
        </w:rPr>
        <w:t>CCG monitoring report (March 2017)</w:t>
      </w:r>
    </w:p>
  </w:footnote>
  <w:footnote w:id="74">
    <w:p w14:paraId="3FD3FCEA" w14:textId="77777777" w:rsidR="00C50611" w:rsidRPr="009921A9" w:rsidRDefault="00C50611">
      <w:pPr>
        <w:pStyle w:val="FootnoteText"/>
        <w:rPr>
          <w:lang w:val="en-GB"/>
        </w:rPr>
      </w:pPr>
      <w:r>
        <w:rPr>
          <w:rStyle w:val="FootnoteReference"/>
        </w:rPr>
        <w:footnoteRef/>
      </w:r>
      <w:r>
        <w:rPr>
          <w:lang w:val="en-GB"/>
        </w:rPr>
        <w:t xml:space="preserve"> CCG monitoring report (March 2017)</w:t>
      </w:r>
    </w:p>
  </w:footnote>
  <w:footnote w:id="75">
    <w:p w14:paraId="429A6C6F" w14:textId="77777777" w:rsidR="00C50611" w:rsidRPr="009921A9" w:rsidRDefault="00C50611">
      <w:pPr>
        <w:pStyle w:val="FootnoteText"/>
        <w:rPr>
          <w:lang w:val="en-GB"/>
        </w:rPr>
      </w:pPr>
      <w:r>
        <w:rPr>
          <w:rStyle w:val="FootnoteReference"/>
        </w:rPr>
        <w:footnoteRef/>
      </w:r>
      <w:r>
        <w:t xml:space="preserve"> </w:t>
      </w:r>
      <w:r>
        <w:rPr>
          <w:lang w:val="en-GB"/>
        </w:rPr>
        <w:t>Information provided by Connect Well</w:t>
      </w:r>
      <w:r w:rsidRPr="009921A9">
        <w:t xml:space="preserve"> </w:t>
      </w:r>
      <w:r w:rsidRPr="009921A9">
        <w:rPr>
          <w:lang w:val="en-GB"/>
        </w:rPr>
        <w:t>Lead Programme Manager</w:t>
      </w:r>
      <w:r>
        <w:rPr>
          <w:lang w:val="en-GB"/>
        </w:rPr>
        <w:t xml:space="preserve"> to RSM PACEC (June 2017)</w:t>
      </w:r>
    </w:p>
  </w:footnote>
  <w:footnote w:id="76">
    <w:p w14:paraId="393EA67B" w14:textId="77777777" w:rsidR="00C50611" w:rsidRPr="009921A9" w:rsidRDefault="00C50611">
      <w:pPr>
        <w:pStyle w:val="FootnoteText"/>
        <w:rPr>
          <w:lang w:val="en-GB"/>
        </w:rPr>
      </w:pPr>
      <w:r>
        <w:rPr>
          <w:rStyle w:val="FootnoteReference"/>
        </w:rPr>
        <w:footnoteRef/>
      </w:r>
      <w:r>
        <w:t xml:space="preserve"> </w:t>
      </w:r>
      <w:r>
        <w:rPr>
          <w:lang w:val="en-GB"/>
        </w:rPr>
        <w:t>Information provided by CCVS/Community 360 to RSM PACEC (June 2017)</w:t>
      </w:r>
    </w:p>
  </w:footnote>
  <w:footnote w:id="77">
    <w:p w14:paraId="33859374" w14:textId="77777777" w:rsidR="00C50611" w:rsidRPr="009921A9" w:rsidRDefault="00C50611">
      <w:pPr>
        <w:pStyle w:val="FootnoteText"/>
        <w:rPr>
          <w:lang w:val="en-GB"/>
        </w:rPr>
      </w:pPr>
      <w:r>
        <w:rPr>
          <w:rStyle w:val="FootnoteReference"/>
        </w:rPr>
        <w:footnoteRef/>
      </w:r>
      <w:r>
        <w:t xml:space="preserve"> </w:t>
      </w:r>
      <w:r>
        <w:rPr>
          <w:lang w:val="en-GB"/>
        </w:rPr>
        <w:t>Information provided by Age UK Essex to RSM PACEC (June 2017)</w:t>
      </w:r>
    </w:p>
  </w:footnote>
  <w:footnote w:id="78">
    <w:p w14:paraId="267689A8" w14:textId="77777777" w:rsidR="00C50611" w:rsidRPr="009921A9" w:rsidRDefault="00C50611" w:rsidP="009921A9">
      <w:pPr>
        <w:pStyle w:val="FootnoteText"/>
      </w:pPr>
      <w:r>
        <w:rPr>
          <w:rStyle w:val="FootnoteReference"/>
        </w:rPr>
        <w:footnoteRef/>
      </w:r>
      <w:r>
        <w:t xml:space="preserve"> SAVS (May 2017) Social Prescribing in Southend on Sea: Learning from the pilot</w:t>
      </w:r>
    </w:p>
  </w:footnote>
  <w:footnote w:id="79">
    <w:p w14:paraId="2C8BB492" w14:textId="77777777" w:rsidR="00C50611" w:rsidRPr="008B14B1" w:rsidRDefault="00C50611">
      <w:pPr>
        <w:pStyle w:val="FootnoteText"/>
        <w:rPr>
          <w:lang w:val="en-GB"/>
        </w:rPr>
      </w:pPr>
      <w:r>
        <w:rPr>
          <w:rStyle w:val="FootnoteReference"/>
        </w:rPr>
        <w:footnoteRef/>
      </w:r>
      <w:r>
        <w:t xml:space="preserve"> R</w:t>
      </w:r>
      <w:r w:rsidRPr="008B14B1">
        <w:t>eferrals mi</w:t>
      </w:r>
      <w:r>
        <w:t>nus those that declined support</w:t>
      </w:r>
    </w:p>
  </w:footnote>
  <w:footnote w:id="80">
    <w:p w14:paraId="069B03E8" w14:textId="77777777" w:rsidR="00C50611" w:rsidRPr="0045104A" w:rsidRDefault="00C50611" w:rsidP="0045104A">
      <w:pPr>
        <w:pStyle w:val="FootnoteText"/>
        <w:rPr>
          <w:lang w:val="en-GB"/>
        </w:rPr>
      </w:pPr>
      <w:r>
        <w:rPr>
          <w:rStyle w:val="FootnoteReference"/>
        </w:rPr>
        <w:footnoteRef/>
      </w:r>
      <w:r>
        <w:t xml:space="preserve"> </w:t>
      </w:r>
      <w:r w:rsidRPr="0045104A">
        <w:rPr>
          <w:lang w:val="en-GB"/>
        </w:rPr>
        <w:t>186 to level 1 support</w:t>
      </w:r>
      <w:r>
        <w:rPr>
          <w:lang w:val="en-GB"/>
        </w:rPr>
        <w:t xml:space="preserve"> and </w:t>
      </w:r>
      <w:r w:rsidRPr="0045104A">
        <w:rPr>
          <w:lang w:val="en-GB"/>
        </w:rPr>
        <w:t>1,305 to level 2 support</w:t>
      </w:r>
      <w:r>
        <w:rPr>
          <w:lang w:val="en-GB"/>
        </w:rPr>
        <w:t xml:space="preserve">; </w:t>
      </w:r>
      <w:r w:rsidRPr="0045104A">
        <w:rPr>
          <w:lang w:val="en-GB"/>
        </w:rPr>
        <w:t>people declined support at level 2; data on those that declined the service at level 1 is not collected, therefore it is assumed that all who were referred were supported</w:t>
      </w:r>
    </w:p>
  </w:footnote>
  <w:footnote w:id="81">
    <w:p w14:paraId="03F19DF9" w14:textId="77777777" w:rsidR="00C50611" w:rsidRPr="009921A9" w:rsidRDefault="00C50611" w:rsidP="008B14B1">
      <w:pPr>
        <w:pStyle w:val="FootnoteText"/>
        <w:rPr>
          <w:lang w:val="en-GB"/>
        </w:rPr>
      </w:pPr>
      <w:r>
        <w:rPr>
          <w:rStyle w:val="FootnoteReference"/>
        </w:rPr>
        <w:footnoteRef/>
      </w:r>
      <w:r>
        <w:t xml:space="preserve"> </w:t>
      </w:r>
      <w:r>
        <w:rPr>
          <w:lang w:val="en-GB"/>
        </w:rPr>
        <w:t>CCG monitoring report (March 2017)</w:t>
      </w:r>
    </w:p>
  </w:footnote>
  <w:footnote w:id="82">
    <w:p w14:paraId="6745FFE5" w14:textId="77777777" w:rsidR="00C50611" w:rsidRPr="009921A9" w:rsidRDefault="00C50611" w:rsidP="008B14B1">
      <w:pPr>
        <w:pStyle w:val="FootnoteText"/>
        <w:rPr>
          <w:lang w:val="en-GB"/>
        </w:rPr>
      </w:pPr>
      <w:r>
        <w:rPr>
          <w:rStyle w:val="FootnoteReference"/>
        </w:rPr>
        <w:footnoteRef/>
      </w:r>
      <w:r>
        <w:rPr>
          <w:lang w:val="en-GB"/>
        </w:rPr>
        <w:t xml:space="preserve"> CCG monitoring report (March 2017)</w:t>
      </w:r>
    </w:p>
  </w:footnote>
  <w:footnote w:id="83">
    <w:p w14:paraId="0376D501" w14:textId="77777777" w:rsidR="00C50611" w:rsidRPr="009921A9" w:rsidRDefault="00C50611" w:rsidP="008B14B1">
      <w:pPr>
        <w:pStyle w:val="FootnoteText"/>
        <w:rPr>
          <w:lang w:val="en-GB"/>
        </w:rPr>
      </w:pPr>
      <w:r>
        <w:rPr>
          <w:rStyle w:val="FootnoteReference"/>
        </w:rPr>
        <w:footnoteRef/>
      </w:r>
      <w:r>
        <w:t xml:space="preserve"> </w:t>
      </w:r>
      <w:r>
        <w:rPr>
          <w:lang w:val="en-GB"/>
        </w:rPr>
        <w:t>Information provided by Connect Well</w:t>
      </w:r>
      <w:r w:rsidRPr="009921A9">
        <w:t xml:space="preserve"> </w:t>
      </w:r>
      <w:r w:rsidRPr="009921A9">
        <w:rPr>
          <w:lang w:val="en-GB"/>
        </w:rPr>
        <w:t>Lead Programme Manager</w:t>
      </w:r>
      <w:r>
        <w:rPr>
          <w:lang w:val="en-GB"/>
        </w:rPr>
        <w:t xml:space="preserve"> to RSM PACEC (June 2017)</w:t>
      </w:r>
    </w:p>
  </w:footnote>
  <w:footnote w:id="84">
    <w:p w14:paraId="00D62E8E" w14:textId="77777777" w:rsidR="00C50611" w:rsidRPr="009921A9" w:rsidRDefault="00C50611" w:rsidP="008B14B1">
      <w:pPr>
        <w:pStyle w:val="FootnoteText"/>
        <w:rPr>
          <w:lang w:val="en-GB"/>
        </w:rPr>
      </w:pPr>
      <w:r>
        <w:rPr>
          <w:rStyle w:val="FootnoteReference"/>
        </w:rPr>
        <w:footnoteRef/>
      </w:r>
      <w:r>
        <w:t xml:space="preserve"> </w:t>
      </w:r>
      <w:r>
        <w:rPr>
          <w:lang w:val="en-GB"/>
        </w:rPr>
        <w:t xml:space="preserve">Information provided by CCVS/Community 360 to RSM PACEC (June 2017) – based on </w:t>
      </w:r>
      <w:r w:rsidRPr="007A4929">
        <w:rPr>
          <w:lang w:val="en-GB"/>
        </w:rPr>
        <w:t xml:space="preserve">a sample of the onward destinations of 563 service users </w:t>
      </w:r>
      <w:r>
        <w:rPr>
          <w:lang w:val="en-GB"/>
        </w:rPr>
        <w:t xml:space="preserve">that </w:t>
      </w:r>
      <w:r w:rsidRPr="007A4929">
        <w:rPr>
          <w:lang w:val="en-GB"/>
        </w:rPr>
        <w:t xml:space="preserve">was analysed </w:t>
      </w:r>
      <w:r>
        <w:rPr>
          <w:lang w:val="en-GB"/>
        </w:rPr>
        <w:t xml:space="preserve">by Community 360 </w:t>
      </w:r>
      <w:r w:rsidRPr="007A4929">
        <w:rPr>
          <w:lang w:val="en-GB"/>
        </w:rPr>
        <w:t>using data from ‘detailed conversations’. This found that they were referred to 716 voluntary activities</w:t>
      </w:r>
      <w:r>
        <w:rPr>
          <w:lang w:val="en-GB"/>
        </w:rPr>
        <w:t xml:space="preserve"> d</w:t>
      </w:r>
      <w:r w:rsidRPr="007A4929">
        <w:rPr>
          <w:lang w:val="en-GB"/>
        </w:rPr>
        <w:t>uring January 2015 – 31 March 2017</w:t>
      </w:r>
    </w:p>
  </w:footnote>
  <w:footnote w:id="85">
    <w:p w14:paraId="33C4B0FD" w14:textId="77777777" w:rsidR="00C50611" w:rsidRPr="009921A9" w:rsidRDefault="00C50611" w:rsidP="008B14B1">
      <w:pPr>
        <w:pStyle w:val="FootnoteText"/>
        <w:rPr>
          <w:lang w:val="en-GB"/>
        </w:rPr>
      </w:pPr>
      <w:r>
        <w:rPr>
          <w:rStyle w:val="FootnoteReference"/>
        </w:rPr>
        <w:footnoteRef/>
      </w:r>
      <w:r>
        <w:t xml:space="preserve"> </w:t>
      </w:r>
      <w:r>
        <w:rPr>
          <w:lang w:val="en-GB"/>
        </w:rPr>
        <w:t>Information provided by Age UK Essex to RSM PACEC (June 2017)</w:t>
      </w:r>
    </w:p>
  </w:footnote>
  <w:footnote w:id="86">
    <w:p w14:paraId="1BC6A49E" w14:textId="77777777" w:rsidR="00C50611" w:rsidRPr="00E97AAC" w:rsidRDefault="00C50611">
      <w:pPr>
        <w:pStyle w:val="FootnoteText"/>
        <w:rPr>
          <w:lang w:val="en-GB"/>
        </w:rPr>
      </w:pPr>
      <w:r>
        <w:rPr>
          <w:rStyle w:val="FootnoteReference"/>
        </w:rPr>
        <w:footnoteRef/>
      </w:r>
      <w:r>
        <w:t xml:space="preserve"> O</w:t>
      </w:r>
      <w:r w:rsidRPr="00E97AAC">
        <w:t>f the 1305 referrals made to the higher level social prescribing in Mid Essex there were 202 recorded onward referrals to other organisations either during or after their (health coaching intervention) with individuals. This means that they either required ongoing or extra support after/alongside their six sessions (max) with Essex Lifestyle Service or through the health coaching work other opportunities for support were identified as SMART goals were set with the individuals</w:t>
      </w:r>
    </w:p>
  </w:footnote>
  <w:footnote w:id="87">
    <w:p w14:paraId="2EA6040C" w14:textId="77777777" w:rsidR="00C50611" w:rsidRPr="003A7C3B" w:rsidRDefault="00C50611" w:rsidP="00AD0525">
      <w:pPr>
        <w:pStyle w:val="FootnoteText"/>
        <w:rPr>
          <w:lang w:val="en-GB"/>
        </w:rPr>
      </w:pPr>
      <w:r>
        <w:rPr>
          <w:rStyle w:val="FootnoteReference"/>
        </w:rPr>
        <w:footnoteRef/>
      </w:r>
      <w:r>
        <w:t xml:space="preserve"> </w:t>
      </w:r>
      <w:r>
        <w:rPr>
          <w:lang w:val="en-GB"/>
        </w:rPr>
        <w:t xml:space="preserve">29 respondents did not answer this question </w:t>
      </w:r>
    </w:p>
  </w:footnote>
  <w:footnote w:id="88">
    <w:p w14:paraId="31F61CDC" w14:textId="77777777" w:rsidR="00C50611" w:rsidRPr="0045104A" w:rsidRDefault="00C50611">
      <w:pPr>
        <w:pStyle w:val="FootnoteText"/>
        <w:rPr>
          <w:lang w:val="en-GB"/>
        </w:rPr>
      </w:pPr>
      <w:r>
        <w:rPr>
          <w:rStyle w:val="FootnoteReference"/>
        </w:rPr>
        <w:footnoteRef/>
      </w:r>
      <w:r>
        <w:t xml:space="preserve"> </w:t>
      </w:r>
      <w:r>
        <w:rPr>
          <w:lang w:val="en-GB"/>
        </w:rPr>
        <w:t xml:space="preserve">Information was not available for Tendring and Southend projects </w:t>
      </w:r>
    </w:p>
  </w:footnote>
  <w:footnote w:id="89">
    <w:p w14:paraId="49BDF39C" w14:textId="77777777" w:rsidR="00C50611" w:rsidRPr="006B3418" w:rsidRDefault="00C50611" w:rsidP="00D315F9">
      <w:pPr>
        <w:pStyle w:val="FootnoteText"/>
        <w:rPr>
          <w:lang w:val="en-GB"/>
        </w:rPr>
      </w:pPr>
      <w:r>
        <w:rPr>
          <w:rStyle w:val="FootnoteReference"/>
        </w:rPr>
        <w:footnoteRef/>
      </w:r>
      <w:r>
        <w:t xml:space="preserve"> </w:t>
      </w:r>
      <w:r w:rsidRPr="006B3418">
        <w:t xml:space="preserve">The aim of the National Social Prescribing Network, which was borne out of a Wellcome Trust-funded research project, is to bring together the </w:t>
      </w:r>
      <w:r>
        <w:t>Social Prescribing</w:t>
      </w:r>
      <w:r w:rsidRPr="006B3418">
        <w:t xml:space="preserve"> stakeholders who have been making innovations in their local area, and creating a way of enabling strategic collaboration and sharing of best practice</w:t>
      </w:r>
    </w:p>
  </w:footnote>
  <w:footnote w:id="90">
    <w:p w14:paraId="1737750A" w14:textId="77777777" w:rsidR="00C50611" w:rsidRPr="007E2464" w:rsidRDefault="00C50611">
      <w:pPr>
        <w:pStyle w:val="FootnoteText"/>
        <w:rPr>
          <w:lang w:val="en-GB"/>
        </w:rPr>
      </w:pPr>
      <w:r>
        <w:rPr>
          <w:rStyle w:val="FootnoteReference"/>
        </w:rPr>
        <w:footnoteRef/>
      </w:r>
      <w:r>
        <w:t xml:space="preserve"> Dayson, Chris and Moss, Bronwen (2017) </w:t>
      </w:r>
      <w:r w:rsidRPr="007E2464">
        <w:t>The Rotherham Social Prescribing Service for People with Long-term Conditions: A GP Perspective</w:t>
      </w:r>
    </w:p>
  </w:footnote>
  <w:footnote w:id="91">
    <w:p w14:paraId="6C1AA982" w14:textId="77777777" w:rsidR="00C50611" w:rsidRPr="001E37B8" w:rsidRDefault="00C50611" w:rsidP="00FA1E28">
      <w:pPr>
        <w:pStyle w:val="FootnoteText"/>
        <w:rPr>
          <w:lang w:val="en-GB"/>
        </w:rPr>
      </w:pPr>
      <w:r>
        <w:rPr>
          <w:rStyle w:val="FootnoteReference"/>
        </w:rPr>
        <w:footnoteRef/>
      </w:r>
      <w:r>
        <w:t xml:space="preserve"> </w:t>
      </w:r>
      <w:r>
        <w:rPr>
          <w:lang w:val="en-GB"/>
        </w:rPr>
        <w:t xml:space="preserve">SAVS (May 2017) </w:t>
      </w:r>
      <w:r w:rsidRPr="001E37B8">
        <w:rPr>
          <w:lang w:val="en-GB"/>
        </w:rPr>
        <w:t>Social</w:t>
      </w:r>
      <w:r>
        <w:rPr>
          <w:lang w:val="en-GB"/>
        </w:rPr>
        <w:t xml:space="preserve"> Prescribing in Southend on Sea: </w:t>
      </w:r>
      <w:r w:rsidRPr="001E37B8">
        <w:rPr>
          <w:lang w:val="en-GB"/>
        </w:rPr>
        <w:t>Learning from the pilot</w:t>
      </w:r>
    </w:p>
  </w:footnote>
  <w:footnote w:id="92">
    <w:p w14:paraId="512EBE12" w14:textId="77777777" w:rsidR="00C50611" w:rsidRPr="00210DF6" w:rsidRDefault="00C50611">
      <w:pPr>
        <w:pStyle w:val="FootnoteText"/>
        <w:rPr>
          <w:lang w:val="en-GB"/>
        </w:rPr>
      </w:pPr>
      <w:r>
        <w:rPr>
          <w:rStyle w:val="FootnoteReference"/>
        </w:rPr>
        <w:footnoteRef/>
      </w:r>
      <w:r>
        <w:t xml:space="preserve"> </w:t>
      </w:r>
      <w:r w:rsidRPr="00210DF6">
        <w:rPr>
          <w:lang w:val="en-GB"/>
        </w:rPr>
        <w:t xml:space="preserve">Basildon and Brentwood; Castle </w:t>
      </w:r>
      <w:r>
        <w:rPr>
          <w:lang w:val="en-GB"/>
        </w:rPr>
        <w:t>Point and Rochford; Mid Essex;</w:t>
      </w:r>
      <w:r w:rsidRPr="00210DF6">
        <w:rPr>
          <w:lang w:val="en-GB"/>
        </w:rPr>
        <w:t xml:space="preserve"> North East Essex My Social Prescription</w:t>
      </w:r>
      <w:r>
        <w:rPr>
          <w:lang w:val="en-GB"/>
        </w:rPr>
        <w:t xml:space="preserve"> and Southend</w:t>
      </w:r>
      <w:r w:rsidRPr="00210DF6">
        <w:rPr>
          <w:lang w:val="en-GB"/>
        </w:rPr>
        <w:t xml:space="preserve">. West Essex has not been </w:t>
      </w:r>
      <w:r>
        <w:rPr>
          <w:lang w:val="en-GB"/>
        </w:rPr>
        <w:t>in</w:t>
      </w:r>
      <w:r w:rsidRPr="00210DF6">
        <w:rPr>
          <w:lang w:val="en-GB"/>
        </w:rPr>
        <w:t>cluded as no referral target was set</w:t>
      </w:r>
    </w:p>
  </w:footnote>
  <w:footnote w:id="93">
    <w:p w14:paraId="093E9EF8" w14:textId="56EA0351" w:rsidR="00C50611" w:rsidRPr="005D3808" w:rsidRDefault="00C50611" w:rsidP="00210DF6">
      <w:pPr>
        <w:pStyle w:val="FootnoteText"/>
        <w:rPr>
          <w:lang w:val="en-GB"/>
        </w:rPr>
      </w:pPr>
      <w:r>
        <w:rPr>
          <w:rStyle w:val="FootnoteReference"/>
        </w:rPr>
        <w:footnoteRef/>
      </w:r>
      <w:r>
        <w:t xml:space="preserve"> </w:t>
      </w:r>
      <w:r w:rsidRPr="005D3808">
        <w:t xml:space="preserve">Total expenditure for the Southend project was £54k; of this £8,370 was the cost of the Quality for Health licences/ information from </w:t>
      </w:r>
      <w:r>
        <w:t>SAVS</w:t>
      </w:r>
      <w:r w:rsidRPr="005D3808">
        <w:t xml:space="preserve"> indicates that a least 50% of the time and resources were spent on the Quality for Health/VCS capacity building element of the project.  Therefore the amount allocated to the Social Prescription element is £22,815</w:t>
      </w:r>
    </w:p>
  </w:footnote>
  <w:footnote w:id="94">
    <w:p w14:paraId="42654F2F" w14:textId="77777777" w:rsidR="00C50611" w:rsidRPr="00421A50" w:rsidRDefault="00C50611" w:rsidP="00170515">
      <w:pPr>
        <w:pStyle w:val="FootnoteText"/>
        <w:rPr>
          <w:lang w:val="en-GB"/>
        </w:rPr>
      </w:pPr>
      <w:r>
        <w:rPr>
          <w:rStyle w:val="FootnoteReference"/>
        </w:rPr>
        <w:footnoteRef/>
      </w:r>
      <w:r>
        <w:t xml:space="preserve"> T</w:t>
      </w:r>
      <w:r w:rsidRPr="00421A50">
        <w:t xml:space="preserve">otal </w:t>
      </w:r>
      <w:r>
        <w:t>expenditure for the Southend project was</w:t>
      </w:r>
      <w:r w:rsidRPr="00421A50">
        <w:t xml:space="preserve"> £54k</w:t>
      </w:r>
      <w:r>
        <w:t xml:space="preserve">; of this </w:t>
      </w:r>
      <w:r w:rsidRPr="00421A50">
        <w:t>£8</w:t>
      </w:r>
      <w:r>
        <w:t>,</w:t>
      </w:r>
      <w:r w:rsidRPr="00421A50">
        <w:t>370 which was the cost of the Quality for Health licences</w:t>
      </w:r>
      <w:r>
        <w:t xml:space="preserve">/ information from SAVS indicates that a </w:t>
      </w:r>
      <w:r w:rsidRPr="00421A50">
        <w:t>least 50% of the time and resources were spent on the Quality for Health/VCS capacity building</w:t>
      </w:r>
      <w:r>
        <w:t xml:space="preserve"> element of the project</w:t>
      </w:r>
      <w:r w:rsidRPr="00421A50">
        <w:t>.</w:t>
      </w:r>
      <w:r>
        <w:t xml:space="preserve"> </w:t>
      </w:r>
      <w:r w:rsidRPr="00421A50">
        <w:t xml:space="preserve"> Therefore the amount allocate</w:t>
      </w:r>
      <w:r>
        <w:t>d to the Social Prescription</w:t>
      </w:r>
      <w:r w:rsidRPr="00421A50">
        <w:t xml:space="preserve"> </w:t>
      </w:r>
      <w:r>
        <w:t xml:space="preserve">element </w:t>
      </w:r>
      <w:r w:rsidRPr="00421A50">
        <w:t>is £22</w:t>
      </w:r>
      <w:r>
        <w:t>,</w:t>
      </w:r>
      <w:r w:rsidRPr="00421A50">
        <w:t>815</w:t>
      </w:r>
    </w:p>
  </w:footnote>
  <w:footnote w:id="95">
    <w:p w14:paraId="439B95AA" w14:textId="77777777" w:rsidR="00C50611" w:rsidRPr="00E97AAC" w:rsidRDefault="00C50611">
      <w:pPr>
        <w:pStyle w:val="FootnoteText"/>
        <w:rPr>
          <w:lang w:val="en-GB"/>
        </w:rPr>
      </w:pPr>
      <w:r>
        <w:rPr>
          <w:rStyle w:val="FootnoteReference"/>
        </w:rPr>
        <w:footnoteRef/>
      </w:r>
      <w:r>
        <w:t xml:space="preserve"> </w:t>
      </w:r>
      <w:r>
        <w:rPr>
          <w:lang w:val="en-GB"/>
        </w:rPr>
        <w:t xml:space="preserve">Note – in the Mid Essex model it is anticipated that </w:t>
      </w:r>
      <w:r w:rsidRPr="00E97AAC">
        <w:rPr>
          <w:lang w:val="en-GB"/>
        </w:rPr>
        <w:t xml:space="preserve">the </w:t>
      </w:r>
      <w:r>
        <w:rPr>
          <w:lang w:val="en-GB"/>
        </w:rPr>
        <w:t>business as usual</w:t>
      </w:r>
      <w:r w:rsidRPr="00E97AAC">
        <w:rPr>
          <w:lang w:val="en-GB"/>
        </w:rPr>
        <w:t xml:space="preserve"> costs will increase over time and the project set up costs reduce</w:t>
      </w:r>
      <w:r>
        <w:rPr>
          <w:lang w:val="en-GB"/>
        </w:rPr>
        <w:t>. It is anticipated that there will be approx.</w:t>
      </w:r>
      <w:r w:rsidRPr="00130399">
        <w:rPr>
          <w:lang w:val="en-GB"/>
        </w:rPr>
        <w:t xml:space="preserve"> 20% of project costs that will be ongoing development costs</w:t>
      </w:r>
      <w:r>
        <w:rPr>
          <w:lang w:val="en-GB"/>
        </w:rPr>
        <w:t xml:space="preserve">. This includes </w:t>
      </w:r>
      <w:r w:rsidRPr="00ED3872">
        <w:rPr>
          <w:lang w:val="en-GB"/>
        </w:rPr>
        <w:t>ECC commissioning funds for Provide to supply Level 2 conversations</w:t>
      </w:r>
      <w:r>
        <w:rPr>
          <w:lang w:val="en-GB"/>
        </w:rPr>
        <w:t xml:space="preserve"> in Mid Essex (net figure of </w:t>
      </w:r>
      <w:r w:rsidRPr="00E26757">
        <w:rPr>
          <w:lang w:val="en-GB"/>
        </w:rPr>
        <w:t>£16</w:t>
      </w:r>
      <w:r>
        <w:rPr>
          <w:lang w:val="en-GB"/>
        </w:rPr>
        <w:t>,</w:t>
      </w:r>
      <w:r w:rsidRPr="00E26757">
        <w:rPr>
          <w:lang w:val="en-GB"/>
        </w:rPr>
        <w:t>485</w:t>
      </w:r>
      <w:r>
        <w:rPr>
          <w:lang w:val="en-GB"/>
        </w:rPr>
        <w:t xml:space="preserve"> based on:  </w:t>
      </w:r>
      <w:r w:rsidRPr="00E26757">
        <w:rPr>
          <w:lang w:val="en-GB"/>
        </w:rPr>
        <w:t>1309 referrals x £15 (hourly rate including FCR elements) =  £19635</w:t>
      </w:r>
      <w:r>
        <w:rPr>
          <w:lang w:val="en-GB"/>
        </w:rPr>
        <w:t xml:space="preserve">; however </w:t>
      </w:r>
      <w:r w:rsidRPr="00E26757">
        <w:rPr>
          <w:lang w:val="en-GB"/>
        </w:rPr>
        <w:t>Provide</w:t>
      </w:r>
      <w:r>
        <w:rPr>
          <w:lang w:val="en-GB"/>
        </w:rPr>
        <w:t>’</w:t>
      </w:r>
      <w:r w:rsidRPr="00E26757">
        <w:rPr>
          <w:lang w:val="en-GB"/>
        </w:rPr>
        <w:t xml:space="preserve">s staff </w:t>
      </w:r>
      <w:r>
        <w:rPr>
          <w:lang w:val="en-GB"/>
        </w:rPr>
        <w:t xml:space="preserve">accessed </w:t>
      </w:r>
      <w:r w:rsidRPr="00E26757">
        <w:rPr>
          <w:lang w:val="en-GB"/>
        </w:rPr>
        <w:t xml:space="preserve">21 training places </w:t>
      </w:r>
      <w:r>
        <w:rPr>
          <w:lang w:val="en-GB"/>
        </w:rPr>
        <w:t>at</w:t>
      </w:r>
      <w:r w:rsidRPr="00E26757">
        <w:rPr>
          <w:lang w:val="en-GB"/>
        </w:rPr>
        <w:t xml:space="preserve"> £150 per place </w:t>
      </w:r>
      <w:r>
        <w:rPr>
          <w:lang w:val="en-GB"/>
        </w:rPr>
        <w:t>which equates to</w:t>
      </w:r>
      <w:r w:rsidRPr="00E26757">
        <w:rPr>
          <w:lang w:val="en-GB"/>
        </w:rPr>
        <w:t xml:space="preserve"> a costed benefit of £3150</w:t>
      </w:r>
      <w:r>
        <w:rPr>
          <w:lang w:val="en-GB"/>
        </w:rPr>
        <w:t xml:space="preserve"> = </w:t>
      </w:r>
      <w:r w:rsidRPr="00E26757">
        <w:rPr>
          <w:lang w:val="en-GB"/>
        </w:rPr>
        <w:t xml:space="preserve"> net figure of £16</w:t>
      </w:r>
      <w:r>
        <w:rPr>
          <w:lang w:val="en-GB"/>
        </w:rPr>
        <w:t>,</w:t>
      </w:r>
      <w:r w:rsidRPr="00E26757">
        <w:rPr>
          <w:lang w:val="en-GB"/>
        </w:rPr>
        <w:t>485</w:t>
      </w:r>
    </w:p>
  </w:footnote>
  <w:footnote w:id="96">
    <w:p w14:paraId="477C2CE1" w14:textId="77777777" w:rsidR="00C50611" w:rsidRPr="009A461A" w:rsidRDefault="00C50611" w:rsidP="00335DB3">
      <w:pPr>
        <w:pStyle w:val="FootnoteText"/>
      </w:pPr>
      <w:r>
        <w:rPr>
          <w:rStyle w:val="FootnoteReference"/>
        </w:rPr>
        <w:footnoteRef/>
      </w:r>
      <w:r>
        <w:t xml:space="preserve"> </w:t>
      </w:r>
      <w:hyperlink r:id="rId2" w:history="1">
        <w:r w:rsidRPr="00C31858">
          <w:rPr>
            <w:rStyle w:val="Hyperlink"/>
          </w:rPr>
          <w:t>http://www.neweconomymanchester.com/our-work/research-evaluation-cost-benefit-analysis/cost-benefit-analysis/unit-cost-database</w:t>
        </w:r>
      </w:hyperlink>
    </w:p>
  </w:footnote>
  <w:footnote w:id="97">
    <w:p w14:paraId="01D29D17" w14:textId="77777777" w:rsidR="00C50611" w:rsidRPr="004B3AF8" w:rsidRDefault="00C50611">
      <w:pPr>
        <w:pStyle w:val="FootnoteText"/>
        <w:rPr>
          <w:lang w:val="en-GB"/>
        </w:rPr>
      </w:pPr>
      <w:r>
        <w:rPr>
          <w:rStyle w:val="FootnoteReference"/>
        </w:rPr>
        <w:footnoteRef/>
      </w:r>
      <w:r>
        <w:t xml:space="preserve"> </w:t>
      </w:r>
      <w:r>
        <w:rPr>
          <w:lang w:val="en-GB"/>
        </w:rPr>
        <w:t xml:space="preserve">Includes those that reported an increase and decrease in primary care service use to calculate the net cost avoidance </w:t>
      </w:r>
    </w:p>
  </w:footnote>
  <w:footnote w:id="98">
    <w:p w14:paraId="07E13DAC" w14:textId="77777777" w:rsidR="00C50611" w:rsidRPr="0024280D" w:rsidRDefault="00C50611" w:rsidP="00E04B23">
      <w:pPr>
        <w:pStyle w:val="FootnoteText"/>
        <w:rPr>
          <w:lang w:val="en-GB"/>
        </w:rPr>
      </w:pPr>
      <w:r>
        <w:rPr>
          <w:rStyle w:val="FootnoteReference"/>
        </w:rPr>
        <w:footnoteRef/>
      </w:r>
      <w:r>
        <w:t xml:space="preserve"> </w:t>
      </w:r>
      <w:r>
        <w:rPr>
          <w:lang w:val="en-GB"/>
        </w:rPr>
        <w:t xml:space="preserve">Based on New Economy Manchester Code </w:t>
      </w:r>
      <w:r w:rsidRPr="0024280D">
        <w:rPr>
          <w:lang w:val="en-GB"/>
        </w:rPr>
        <w:t>HE20.0</w:t>
      </w:r>
      <w:r>
        <w:rPr>
          <w:lang w:val="en-GB"/>
        </w:rPr>
        <w:t xml:space="preserve"> </w:t>
      </w:r>
      <w:r w:rsidRPr="0024280D">
        <w:rPr>
          <w:lang w:val="en-GB"/>
        </w:rPr>
        <w:t>(GP - cost per hour, General Medical Services activity</w:t>
      </w:r>
      <w:r>
        <w:rPr>
          <w:lang w:val="en-GB"/>
        </w:rPr>
        <w:t xml:space="preserve"> - £121</w:t>
      </w:r>
      <w:r w:rsidRPr="0024280D">
        <w:rPr>
          <w:lang w:val="en-GB"/>
        </w:rPr>
        <w:t>)</w:t>
      </w:r>
      <w:r>
        <w:rPr>
          <w:lang w:val="en-GB"/>
        </w:rPr>
        <w:t xml:space="preserve"> x number of reduced hours </w:t>
      </w:r>
    </w:p>
  </w:footnote>
  <w:footnote w:id="99">
    <w:p w14:paraId="67079972" w14:textId="77777777" w:rsidR="00C50611" w:rsidRPr="0024280D" w:rsidRDefault="00C50611" w:rsidP="00E04B23">
      <w:pPr>
        <w:pStyle w:val="FootnoteText"/>
        <w:rPr>
          <w:lang w:val="en-GB"/>
        </w:rPr>
      </w:pPr>
      <w:r>
        <w:rPr>
          <w:rStyle w:val="FootnoteReference"/>
        </w:rPr>
        <w:footnoteRef/>
      </w:r>
      <w:r>
        <w:t xml:space="preserve"> </w:t>
      </w:r>
      <w:r>
        <w:rPr>
          <w:lang w:val="en-GB"/>
        </w:rPr>
        <w:t xml:space="preserve">Based on New Economy Manchester Code </w:t>
      </w:r>
      <w:r w:rsidRPr="00862A59">
        <w:t>HE21.0 (GP - prescription costs per consultation</w:t>
      </w:r>
      <w:r>
        <w:t xml:space="preserve"> = £41</w:t>
      </w:r>
      <w:r w:rsidRPr="00862A59">
        <w:t>)</w:t>
      </w:r>
      <w:r>
        <w:t xml:space="preserve"> x the number of reduced prescriptions </w:t>
      </w:r>
    </w:p>
  </w:footnote>
  <w:footnote w:id="100">
    <w:p w14:paraId="29969075" w14:textId="77777777" w:rsidR="00C50611" w:rsidRPr="00862A59" w:rsidRDefault="00C50611" w:rsidP="00E04B23">
      <w:pPr>
        <w:pStyle w:val="FootnoteText"/>
        <w:rPr>
          <w:lang w:val="en-GB"/>
        </w:rPr>
      </w:pPr>
      <w:r>
        <w:rPr>
          <w:rStyle w:val="FootnoteReference"/>
        </w:rPr>
        <w:footnoteRef/>
      </w:r>
      <w:r>
        <w:t xml:space="preserve"> </w:t>
      </w:r>
      <w:r>
        <w:rPr>
          <w:lang w:val="en-GB"/>
        </w:rPr>
        <w:t xml:space="preserve">Based on New Economy Manchester Code </w:t>
      </w:r>
      <w:r w:rsidRPr="00862A59">
        <w:t>HE19.0 (Counselling services in primary medical care, cost per hour</w:t>
      </w:r>
      <w:r>
        <w:t xml:space="preserve"> = £50</w:t>
      </w:r>
      <w:r w:rsidRPr="00862A59">
        <w:t>)</w:t>
      </w:r>
      <w:r>
        <w:t xml:space="preserve"> x the number of change in hours </w:t>
      </w:r>
    </w:p>
  </w:footnote>
  <w:footnote w:id="101">
    <w:p w14:paraId="1030B232" w14:textId="77777777" w:rsidR="00C50611" w:rsidRPr="00862A59" w:rsidRDefault="00C50611" w:rsidP="00E04B23">
      <w:pPr>
        <w:pStyle w:val="FootnoteText"/>
        <w:rPr>
          <w:lang w:val="en-GB"/>
        </w:rPr>
      </w:pPr>
      <w:r>
        <w:rPr>
          <w:rStyle w:val="FootnoteReference"/>
        </w:rPr>
        <w:footnoteRef/>
      </w:r>
      <w:r>
        <w:t xml:space="preserve"> </w:t>
      </w:r>
      <w:r>
        <w:rPr>
          <w:lang w:val="en-GB"/>
        </w:rPr>
        <w:t xml:space="preserve">Based on New Economy Manchester Code </w:t>
      </w:r>
      <w:r w:rsidRPr="00862A59">
        <w:t>HE16.0 (Mental health community provision - average cost per contact</w:t>
      </w:r>
      <w:r>
        <w:t xml:space="preserve"> = £156</w:t>
      </w:r>
      <w:r w:rsidRPr="00862A59">
        <w:t>)</w:t>
      </w:r>
      <w:r>
        <w:t xml:space="preserve"> x change in the number of visits </w:t>
      </w:r>
    </w:p>
  </w:footnote>
  <w:footnote w:id="102">
    <w:p w14:paraId="3730EBE6" w14:textId="77777777" w:rsidR="00C50611" w:rsidRPr="004B3AF8" w:rsidRDefault="00C50611" w:rsidP="004B3AF8">
      <w:pPr>
        <w:pStyle w:val="FootnoteText"/>
        <w:rPr>
          <w:lang w:val="en-GB"/>
        </w:rPr>
      </w:pPr>
      <w:r>
        <w:rPr>
          <w:rStyle w:val="FootnoteReference"/>
        </w:rPr>
        <w:footnoteRef/>
      </w:r>
      <w:r>
        <w:t xml:space="preserve"> </w:t>
      </w:r>
      <w:r>
        <w:rPr>
          <w:lang w:val="en-GB"/>
        </w:rPr>
        <w:t xml:space="preserve">Includes those that reported an increase and decrease in secondary care service use to calculate the net cost avoidance </w:t>
      </w:r>
    </w:p>
  </w:footnote>
  <w:footnote w:id="103">
    <w:p w14:paraId="6AD6B82F" w14:textId="77777777" w:rsidR="00C50611" w:rsidRPr="0024280D" w:rsidRDefault="00C50611" w:rsidP="00F24AEF">
      <w:pPr>
        <w:pStyle w:val="FootnoteText"/>
        <w:rPr>
          <w:lang w:val="en-GB"/>
        </w:rPr>
      </w:pPr>
      <w:r>
        <w:rPr>
          <w:rStyle w:val="FootnoteReference"/>
        </w:rPr>
        <w:footnoteRef/>
      </w:r>
      <w:r>
        <w:t xml:space="preserve"> </w:t>
      </w:r>
      <w:r>
        <w:rPr>
          <w:lang w:val="en-GB"/>
        </w:rPr>
        <w:t xml:space="preserve">Based on New Economy Manchester Code </w:t>
      </w:r>
      <w:r w:rsidRPr="00FC5C8B">
        <w:rPr>
          <w:lang w:val="en-GB"/>
        </w:rPr>
        <w:t xml:space="preserve">HE4.0 </w:t>
      </w:r>
      <w:r w:rsidRPr="0024280D">
        <w:rPr>
          <w:lang w:val="en-GB"/>
        </w:rPr>
        <w:t>(</w:t>
      </w:r>
      <w:r w:rsidRPr="00FC5C8B">
        <w:rPr>
          <w:lang w:val="en-GB"/>
        </w:rPr>
        <w:t>(A&amp;E attendance (all scenarios))</w:t>
      </w:r>
      <w:r>
        <w:rPr>
          <w:lang w:val="en-GB"/>
        </w:rPr>
        <w:t xml:space="preserve"> - £109</w:t>
      </w:r>
      <w:r w:rsidRPr="0024280D">
        <w:rPr>
          <w:lang w:val="en-GB"/>
        </w:rPr>
        <w:t>)</w:t>
      </w:r>
      <w:r>
        <w:rPr>
          <w:lang w:val="en-GB"/>
        </w:rPr>
        <w:t xml:space="preserve"> x number of reduced visits </w:t>
      </w:r>
    </w:p>
  </w:footnote>
  <w:footnote w:id="104">
    <w:p w14:paraId="4A64D6EA" w14:textId="77777777" w:rsidR="00C50611" w:rsidRPr="0024280D" w:rsidRDefault="00C50611" w:rsidP="00F24AEF">
      <w:pPr>
        <w:pStyle w:val="FootnoteText"/>
        <w:rPr>
          <w:lang w:val="en-GB"/>
        </w:rPr>
      </w:pPr>
      <w:r>
        <w:rPr>
          <w:rStyle w:val="FootnoteReference"/>
        </w:rPr>
        <w:footnoteRef/>
      </w:r>
      <w:r>
        <w:t xml:space="preserve"> </w:t>
      </w:r>
      <w:r>
        <w:rPr>
          <w:lang w:val="en-GB"/>
        </w:rPr>
        <w:t xml:space="preserve">Based on New Economy Manchester Code </w:t>
      </w:r>
      <w:r w:rsidRPr="00FC5C8B">
        <w:rPr>
          <w:lang w:val="en-GB"/>
        </w:rPr>
        <w:t xml:space="preserve">HE8.0 </w:t>
      </w:r>
      <w:r w:rsidRPr="0024280D">
        <w:rPr>
          <w:lang w:val="en-GB"/>
        </w:rPr>
        <w:t>(</w:t>
      </w:r>
      <w:r w:rsidRPr="00FC5C8B">
        <w:rPr>
          <w:lang w:val="en-GB"/>
        </w:rPr>
        <w:t>Hospital outpatients - average cost per outpatient attendance</w:t>
      </w:r>
      <w:r>
        <w:rPr>
          <w:lang w:val="en-GB"/>
        </w:rPr>
        <w:t xml:space="preserve"> - £111</w:t>
      </w:r>
      <w:r w:rsidRPr="0024280D">
        <w:rPr>
          <w:lang w:val="en-GB"/>
        </w:rPr>
        <w:t>)</w:t>
      </w:r>
      <w:r>
        <w:rPr>
          <w:lang w:val="en-GB"/>
        </w:rPr>
        <w:t xml:space="preserve"> x number of reduced appointments </w:t>
      </w:r>
    </w:p>
  </w:footnote>
  <w:footnote w:id="105">
    <w:p w14:paraId="1995A1F5" w14:textId="77777777" w:rsidR="00C50611" w:rsidRPr="0024280D" w:rsidRDefault="00C50611" w:rsidP="00F24AEF">
      <w:pPr>
        <w:pStyle w:val="FootnoteText"/>
        <w:rPr>
          <w:lang w:val="en-GB"/>
        </w:rPr>
      </w:pPr>
      <w:r>
        <w:rPr>
          <w:rStyle w:val="FootnoteReference"/>
        </w:rPr>
        <w:footnoteRef/>
      </w:r>
      <w:r>
        <w:t xml:space="preserve"> </w:t>
      </w:r>
      <w:r>
        <w:rPr>
          <w:lang w:val="en-GB"/>
        </w:rPr>
        <w:t>Based on New Economy Manchester Code HE7</w:t>
      </w:r>
      <w:r w:rsidRPr="00FC5C8B">
        <w:rPr>
          <w:lang w:val="en-GB"/>
        </w:rPr>
        <w:t xml:space="preserve">.0 </w:t>
      </w:r>
      <w:r w:rsidRPr="0024280D">
        <w:rPr>
          <w:lang w:val="en-GB"/>
        </w:rPr>
        <w:t>(</w:t>
      </w:r>
      <w:r w:rsidRPr="00FC5C8B">
        <w:rPr>
          <w:lang w:val="en-GB"/>
        </w:rPr>
        <w:t>Hospital outpatients - average cost per outpatient attendance</w:t>
      </w:r>
      <w:r>
        <w:rPr>
          <w:lang w:val="en-GB"/>
        </w:rPr>
        <w:t xml:space="preserve"> - £111</w:t>
      </w:r>
      <w:r w:rsidRPr="0024280D">
        <w:rPr>
          <w:lang w:val="en-GB"/>
        </w:rPr>
        <w:t>)</w:t>
      </w:r>
      <w:r>
        <w:rPr>
          <w:lang w:val="en-GB"/>
        </w:rPr>
        <w:t xml:space="preserve"> x number of admissions </w:t>
      </w:r>
    </w:p>
  </w:footnote>
  <w:footnote w:id="106">
    <w:p w14:paraId="1C72EA68" w14:textId="77777777" w:rsidR="00C50611" w:rsidRPr="0024280D" w:rsidRDefault="00C50611" w:rsidP="00F24AEF">
      <w:pPr>
        <w:pStyle w:val="FootnoteText"/>
        <w:rPr>
          <w:lang w:val="en-GB"/>
        </w:rPr>
      </w:pPr>
      <w:r>
        <w:rPr>
          <w:rStyle w:val="FootnoteReference"/>
        </w:rPr>
        <w:footnoteRef/>
      </w:r>
      <w:r>
        <w:t xml:space="preserve"> </w:t>
      </w:r>
      <w:r>
        <w:rPr>
          <w:lang w:val="en-GB"/>
        </w:rPr>
        <w:t xml:space="preserve">Based on New Economy Manchester Code </w:t>
      </w:r>
      <w:r w:rsidRPr="00FC5C8B">
        <w:rPr>
          <w:lang w:val="en-GB"/>
        </w:rPr>
        <w:t xml:space="preserve">HE7.0 </w:t>
      </w:r>
      <w:r w:rsidRPr="0024280D">
        <w:rPr>
          <w:lang w:val="en-GB"/>
        </w:rPr>
        <w:t>(</w:t>
      </w:r>
      <w:r w:rsidRPr="00FC5C8B">
        <w:rPr>
          <w:lang w:val="en-GB"/>
        </w:rPr>
        <w:t>Hospital inpatients - average cost per episode (elective and non-elective admissions)</w:t>
      </w:r>
      <w:r>
        <w:rPr>
          <w:lang w:val="en-GB"/>
        </w:rPr>
        <w:t xml:space="preserve"> - £</w:t>
      </w:r>
      <w:r w:rsidRPr="00FC5C8B">
        <w:rPr>
          <w:lang w:val="en-GB"/>
        </w:rPr>
        <w:t>1,807</w:t>
      </w:r>
      <w:r w:rsidRPr="0024280D">
        <w:rPr>
          <w:lang w:val="en-GB"/>
        </w:rPr>
        <w:t>)</w:t>
      </w:r>
      <w:r>
        <w:rPr>
          <w:lang w:val="en-GB"/>
        </w:rPr>
        <w:t xml:space="preserve"> x number of admissions </w:t>
      </w:r>
    </w:p>
  </w:footnote>
  <w:footnote w:id="107">
    <w:p w14:paraId="7F97464F" w14:textId="77777777" w:rsidR="00C50611" w:rsidRPr="004B3AF8" w:rsidRDefault="00C50611" w:rsidP="004B3AF8">
      <w:pPr>
        <w:pStyle w:val="FootnoteText"/>
        <w:rPr>
          <w:lang w:val="en-GB"/>
        </w:rPr>
      </w:pPr>
      <w:r>
        <w:rPr>
          <w:rStyle w:val="FootnoteReference"/>
        </w:rPr>
        <w:footnoteRef/>
      </w:r>
      <w:r>
        <w:t xml:space="preserve"> </w:t>
      </w:r>
      <w:r>
        <w:rPr>
          <w:lang w:val="en-GB"/>
        </w:rPr>
        <w:t xml:space="preserve">Includes those that reported an increase and decrease in social care service use to calculate the net cost avoidance </w:t>
      </w:r>
    </w:p>
  </w:footnote>
  <w:footnote w:id="108">
    <w:p w14:paraId="412D2FDE" w14:textId="2378967F" w:rsidR="00C50611" w:rsidRPr="00826E8C" w:rsidRDefault="00C50611">
      <w:pPr>
        <w:pStyle w:val="FootnoteText"/>
        <w:rPr>
          <w:lang w:val="en-GB"/>
        </w:rPr>
      </w:pPr>
      <w:r>
        <w:rPr>
          <w:rStyle w:val="FootnoteReference"/>
        </w:rPr>
        <w:footnoteRef/>
      </w:r>
      <w:r>
        <w:t xml:space="preserve"> </w:t>
      </w:r>
      <w:r w:rsidRPr="000715B8">
        <w:t xml:space="preserve">Relates to the five Social Prescribing that were included in the </w:t>
      </w:r>
      <w:r>
        <w:t xml:space="preserve">service </w:t>
      </w:r>
      <w:r w:rsidRPr="000715B8">
        <w:t>user survey</w:t>
      </w:r>
    </w:p>
  </w:footnote>
  <w:footnote w:id="109">
    <w:p w14:paraId="69713D2F" w14:textId="77777777" w:rsidR="00C50611" w:rsidRPr="006A6086" w:rsidRDefault="00C50611">
      <w:pPr>
        <w:pStyle w:val="FootnoteText"/>
        <w:rPr>
          <w:lang w:val="en-GB"/>
        </w:rPr>
      </w:pPr>
      <w:r>
        <w:rPr>
          <w:rStyle w:val="FootnoteReference"/>
        </w:rPr>
        <w:footnoteRef/>
      </w:r>
      <w:r>
        <w:t xml:space="preserve"> </w:t>
      </w:r>
      <w:r>
        <w:rPr>
          <w:lang w:val="en-GB"/>
        </w:rPr>
        <w:t xml:space="preserve">Cost per service user for each area multiplied by the number of survey respondents for that area; the cost for each area was added together to calculate the input costs for the survey cohort </w:t>
      </w:r>
    </w:p>
  </w:footnote>
  <w:footnote w:id="110">
    <w:p w14:paraId="384510E9" w14:textId="77777777" w:rsidR="00C50611" w:rsidRPr="00601984" w:rsidRDefault="00C50611">
      <w:pPr>
        <w:pStyle w:val="FootnoteText"/>
        <w:rPr>
          <w:lang w:val="en-GB"/>
        </w:rPr>
      </w:pPr>
      <w:r>
        <w:rPr>
          <w:rStyle w:val="FootnoteReference"/>
        </w:rPr>
        <w:footnoteRef/>
      </w:r>
      <w:r>
        <w:t xml:space="preserve"> </w:t>
      </w:r>
      <w:r>
        <w:rPr>
          <w:lang w:val="en-GB"/>
        </w:rPr>
        <w:t>CRESR (2014) The Social and Economic Impact of the Rotherham Social Prescribing Pilot</w:t>
      </w:r>
    </w:p>
  </w:footnote>
  <w:footnote w:id="111">
    <w:p w14:paraId="4CA69682" w14:textId="77777777" w:rsidR="00C50611" w:rsidRPr="000D307F" w:rsidRDefault="00C50611">
      <w:pPr>
        <w:pStyle w:val="FootnoteText"/>
        <w:rPr>
          <w:lang w:val="en-GB"/>
        </w:rPr>
      </w:pPr>
      <w:r>
        <w:rPr>
          <w:rStyle w:val="FootnoteReference"/>
        </w:rPr>
        <w:footnoteRef/>
      </w:r>
      <w:r>
        <w:t xml:space="preserve"> Relates to </w:t>
      </w:r>
      <w:r>
        <w:rPr>
          <w:lang w:val="en-GB"/>
        </w:rPr>
        <w:t>Castle Point and Rochford  and it has been confirmed</w:t>
      </w:r>
      <w:r w:rsidRPr="000D307F">
        <w:rPr>
          <w:lang w:val="en-GB"/>
        </w:rPr>
        <w:t xml:space="preserve"> by </w:t>
      </w:r>
      <w:r>
        <w:rPr>
          <w:lang w:val="en-GB"/>
        </w:rPr>
        <w:t>CAVS</w:t>
      </w:r>
      <w:r w:rsidRPr="000D307F">
        <w:rPr>
          <w:lang w:val="en-GB"/>
        </w:rPr>
        <w:t xml:space="preserve"> that plans are in place to ensure there is no underspend at the end of the two year term as the organisation is currently reviewing resource for the immediate future to meet both the current levels of referrals and anticipated up take of the service.</w:t>
      </w:r>
    </w:p>
  </w:footnote>
  <w:footnote w:id="112">
    <w:p w14:paraId="2D15DE5D" w14:textId="77777777" w:rsidR="00D440B4" w:rsidRPr="00A0730D" w:rsidRDefault="00D440B4" w:rsidP="00D440B4">
      <w:pPr>
        <w:pStyle w:val="FootnoteText"/>
        <w:rPr>
          <w:lang w:val="en-GB"/>
        </w:rPr>
      </w:pPr>
      <w:r>
        <w:rPr>
          <w:rStyle w:val="FootnoteReference"/>
        </w:rPr>
        <w:footnoteRef/>
      </w:r>
      <w:r>
        <w:t xml:space="preserve"> QALYs </w:t>
      </w:r>
      <w:r w:rsidRPr="00A0730D">
        <w:t>combine length of life with a utility value for health related quality of life (HRQL)</w:t>
      </w:r>
    </w:p>
  </w:footnote>
  <w:footnote w:id="113">
    <w:p w14:paraId="3DA6FD6C" w14:textId="466F66D2" w:rsidR="00F938AF" w:rsidRPr="00171751" w:rsidRDefault="00F938AF" w:rsidP="00F938AF">
      <w:pPr>
        <w:pStyle w:val="FootnoteText"/>
        <w:rPr>
          <w:lang w:val="en-GB"/>
        </w:rPr>
      </w:pPr>
      <w:r>
        <w:rPr>
          <w:rStyle w:val="FootnoteReference"/>
        </w:rPr>
        <w:footnoteRef/>
      </w:r>
      <w:r>
        <w:t xml:space="preserve"> </w:t>
      </w:r>
      <w:bookmarkStart w:id="72" w:name="_Hlk497932799"/>
      <w:r w:rsidR="00D440B4">
        <w:rPr>
          <w:lang w:val="en-GB"/>
        </w:rPr>
        <w:t xml:space="preserve">Relates to the five Social Prescribing </w:t>
      </w:r>
      <w:r w:rsidR="00D440B4" w:rsidRPr="000715B8">
        <w:rPr>
          <w:lang w:val="en-GB"/>
        </w:rPr>
        <w:t xml:space="preserve">that were included in the </w:t>
      </w:r>
      <w:r w:rsidR="00D440B4">
        <w:rPr>
          <w:lang w:val="en-GB"/>
        </w:rPr>
        <w:t xml:space="preserve">service </w:t>
      </w:r>
      <w:r w:rsidR="00D440B4" w:rsidRPr="000715B8">
        <w:rPr>
          <w:lang w:val="en-GB"/>
        </w:rPr>
        <w:t>user survey</w:t>
      </w:r>
      <w:r w:rsidR="00D440B4">
        <w:t xml:space="preserve">. </w:t>
      </w:r>
      <w:r w:rsidRPr="00F938AF">
        <w:t>The survey was completed with service users in Basildon and Brentwood (Social Prescribing project); Castle Point and Rochford (Ways to Wellness project); Mid Essex (Connect Well project); North East Colchester (My Social Prescription project); and West Essex (Smart Life project)</w:t>
      </w:r>
      <w:bookmarkEnd w:id="72"/>
    </w:p>
  </w:footnote>
  <w:footnote w:id="114">
    <w:p w14:paraId="2DE8C73A" w14:textId="77777777" w:rsidR="00C50611" w:rsidRPr="00A0730D" w:rsidRDefault="00C50611" w:rsidP="00131B94">
      <w:pPr>
        <w:pStyle w:val="FootnoteText"/>
        <w:rPr>
          <w:lang w:val="en-GB"/>
        </w:rPr>
      </w:pPr>
      <w:r>
        <w:rPr>
          <w:rStyle w:val="FootnoteReference"/>
        </w:rPr>
        <w:footnoteRef/>
      </w:r>
      <w:r>
        <w:t xml:space="preserve"> </w:t>
      </w:r>
      <w:r w:rsidRPr="00A0730D">
        <w:t>The NHS values a QALY at between £20,000 and £30,000. This is the threshold for cost-ef</w:t>
      </w:r>
      <w:r>
        <w:t xml:space="preserve">fectiveness recommended by NICE. </w:t>
      </w:r>
      <w:r w:rsidRPr="00A0730D">
        <w:t xml:space="preserve">Taking the lower threshold value, this means that a £100,000 intervention can be considered cost-effective if it </w:t>
      </w:r>
      <w:r>
        <w:t>generates five additional QALYs</w:t>
      </w:r>
    </w:p>
  </w:footnote>
  <w:footnote w:id="115">
    <w:p w14:paraId="562FD948" w14:textId="77777777" w:rsidR="00C50611" w:rsidRPr="001A4AA5" w:rsidRDefault="00C50611">
      <w:pPr>
        <w:pStyle w:val="FootnoteText"/>
        <w:rPr>
          <w:lang w:val="en-GB"/>
        </w:rPr>
      </w:pPr>
      <w:r>
        <w:rPr>
          <w:rStyle w:val="FootnoteReference"/>
        </w:rPr>
        <w:footnoteRef/>
      </w:r>
      <w:r>
        <w:t xml:space="preserve"> </w:t>
      </w:r>
      <w:r>
        <w:rPr>
          <w:lang w:val="en-GB"/>
        </w:rPr>
        <w:t xml:space="preserve">In West Essex </w:t>
      </w:r>
      <w:r>
        <w:t>the</w:t>
      </w:r>
      <w:r w:rsidRPr="004D60E8">
        <w:t xml:space="preserve"> partners </w:t>
      </w:r>
      <w:r>
        <w:t xml:space="preserve">are </w:t>
      </w:r>
      <w:r w:rsidRPr="004D60E8">
        <w:t>Age UK Essex, Community Agents and Prov</w:t>
      </w:r>
      <w:r>
        <w:t>ide's Essex Lifestyle Service. It is intended</w:t>
      </w:r>
      <w:r w:rsidRPr="004D60E8">
        <w:t xml:space="preserve"> to support any non-clinical issue for anyone over the age of 16 years. The majority of referrals for older people (60+) will </w:t>
      </w:r>
      <w:r>
        <w:t xml:space="preserve">be triaged to Community Agents and </w:t>
      </w:r>
      <w:r w:rsidRPr="004D60E8">
        <w:t>Smart Life w</w:t>
      </w:r>
      <w:r>
        <w:t>ill see people under 60 years</w:t>
      </w:r>
      <w:r w:rsidRPr="004D60E8">
        <w:t>. All referrals go to one single point of access - Provide - who triage the referral and send to the appropriate service provider.</w:t>
      </w:r>
    </w:p>
  </w:footnote>
  <w:footnote w:id="116">
    <w:p w14:paraId="04AF7780" w14:textId="77777777" w:rsidR="00C50611" w:rsidRPr="00DD21DC" w:rsidRDefault="00C50611" w:rsidP="00962B74">
      <w:pPr>
        <w:pStyle w:val="FootnoteText"/>
        <w:rPr>
          <w:lang w:val="en-GB"/>
        </w:rPr>
      </w:pPr>
      <w:r>
        <w:rPr>
          <w:rStyle w:val="FootnoteReference"/>
        </w:rPr>
        <w:footnoteRef/>
      </w:r>
      <w:r>
        <w:t xml:space="preserve"> </w:t>
      </w:r>
      <w:r w:rsidRPr="00DD21DC">
        <w:t>Social Prescription Business Case (June 2015)</w:t>
      </w:r>
    </w:p>
  </w:footnote>
  <w:footnote w:id="117">
    <w:p w14:paraId="30B6876A" w14:textId="77777777" w:rsidR="00C50611" w:rsidRPr="00680C48" w:rsidRDefault="00C50611" w:rsidP="00170B6B">
      <w:pPr>
        <w:pStyle w:val="FootnoteText"/>
        <w:rPr>
          <w:lang w:val="en-GB"/>
        </w:rPr>
      </w:pPr>
      <w:r>
        <w:rPr>
          <w:rStyle w:val="FootnoteReference"/>
        </w:rPr>
        <w:footnoteRef/>
      </w:r>
      <w:r>
        <w:t xml:space="preserve"> </w:t>
      </w:r>
      <w:r>
        <w:rPr>
          <w:lang w:val="en-GB"/>
        </w:rPr>
        <w:t xml:space="preserve">A ‘referral in’ refers to a referral made to a Social Prescribing project </w:t>
      </w:r>
    </w:p>
  </w:footnote>
  <w:footnote w:id="118">
    <w:p w14:paraId="6575C326" w14:textId="77777777" w:rsidR="00C50611" w:rsidRPr="00500D23" w:rsidRDefault="00C50611" w:rsidP="00170B6B">
      <w:pPr>
        <w:pStyle w:val="FootnoteText"/>
        <w:rPr>
          <w:lang w:val="en-GB"/>
        </w:rPr>
      </w:pPr>
      <w:r>
        <w:rPr>
          <w:rStyle w:val="FootnoteReference"/>
        </w:rPr>
        <w:footnoteRef/>
      </w:r>
      <w:r>
        <w:t xml:space="preserve"> </w:t>
      </w:r>
      <w:r>
        <w:rPr>
          <w:lang w:val="en-GB"/>
        </w:rPr>
        <w:t xml:space="preserve">Basildon and Brentwood; Castle Point and Rochford; Mid Essex; and North East Essex My Social Prescription. West Essex has been excluded as it did not have a referral target </w:t>
      </w:r>
    </w:p>
  </w:footnote>
  <w:footnote w:id="119">
    <w:p w14:paraId="71CC7A3E" w14:textId="77777777" w:rsidR="00C50611" w:rsidRPr="005478E1" w:rsidRDefault="00C50611" w:rsidP="00170B6B">
      <w:pPr>
        <w:pStyle w:val="FootnoteText"/>
        <w:rPr>
          <w:lang w:val="en-GB"/>
        </w:rPr>
      </w:pPr>
      <w:r>
        <w:rPr>
          <w:rStyle w:val="FootnoteReference"/>
        </w:rPr>
        <w:footnoteRef/>
      </w:r>
      <w:r>
        <w:t xml:space="preserve"> </w:t>
      </w:r>
      <w:r>
        <w:rPr>
          <w:lang w:val="en-GB"/>
        </w:rPr>
        <w:t xml:space="preserve">Dayson, Chris; Bennet, Ellen (2016) Evaluation of the Doncaster Social Prescribing Service: Understanding outcomes and impact </w:t>
      </w:r>
    </w:p>
  </w:footnote>
  <w:footnote w:id="120">
    <w:p w14:paraId="4C7A9CE0" w14:textId="77777777" w:rsidR="00C50611" w:rsidRPr="005478E1" w:rsidRDefault="00C50611" w:rsidP="00170B6B">
      <w:pPr>
        <w:pStyle w:val="FootnoteText"/>
        <w:rPr>
          <w:lang w:val="en-GB"/>
        </w:rPr>
      </w:pPr>
      <w:r>
        <w:rPr>
          <w:rStyle w:val="FootnoteReference"/>
        </w:rPr>
        <w:footnoteRef/>
      </w:r>
      <w:r>
        <w:t xml:space="preserve"> Dayson, Chris; Bashir, Nadia (2014) The social and economic impact of the Rotherham Social Prescribing Pilot</w:t>
      </w:r>
    </w:p>
  </w:footnote>
  <w:footnote w:id="121">
    <w:p w14:paraId="16E11D10" w14:textId="77777777" w:rsidR="00C50611" w:rsidRPr="005445AC" w:rsidRDefault="00C50611" w:rsidP="00170B6B">
      <w:pPr>
        <w:pStyle w:val="FootnoteText"/>
        <w:rPr>
          <w:lang w:val="en-GB"/>
        </w:rPr>
      </w:pPr>
      <w:r>
        <w:rPr>
          <w:rStyle w:val="FootnoteReference"/>
        </w:rPr>
        <w:footnoteRef/>
      </w:r>
      <w:r>
        <w:t xml:space="preserve"> Smart, Measurable, Achievable, Realistic and Timebound</w:t>
      </w:r>
    </w:p>
  </w:footnote>
  <w:footnote w:id="122">
    <w:p w14:paraId="5524A090" w14:textId="77777777" w:rsidR="00C50611" w:rsidRPr="00BC5218" w:rsidRDefault="00C50611" w:rsidP="00170B6B">
      <w:pPr>
        <w:pStyle w:val="FootnoteText"/>
      </w:pPr>
      <w:r>
        <w:rPr>
          <w:rStyle w:val="FootnoteReference"/>
        </w:rPr>
        <w:footnoteRef/>
      </w:r>
      <w:r>
        <w:t xml:space="preserve"> </w:t>
      </w:r>
      <w:hyperlink r:id="rId3" w:history="1">
        <w:r w:rsidRPr="004E08EB">
          <w:rPr>
            <w:rStyle w:val="Hyperlink"/>
          </w:rPr>
          <w:t>https://www.england.nhs.uk/wp-content/uploads/2016/12/information-sharing-policy-v2-1.pdf</w:t>
        </w:r>
      </w:hyperlink>
    </w:p>
  </w:footnote>
  <w:footnote w:id="123">
    <w:p w14:paraId="7930A587" w14:textId="77777777" w:rsidR="00C50611" w:rsidRPr="00305409" w:rsidRDefault="00C50611" w:rsidP="00170B6B">
      <w:pPr>
        <w:pStyle w:val="FootnoteText"/>
      </w:pPr>
      <w:r>
        <w:rPr>
          <w:rStyle w:val="FootnoteReference"/>
        </w:rPr>
        <w:footnoteRef/>
      </w:r>
      <w:r>
        <w:t xml:space="preserve"> As the data is based on a small number of responses it may not necessarily be a true reflection of the entire programme. In addition, the evidence is based on service user self-reporting of health service use and therefore can be unreliable. </w:t>
      </w:r>
    </w:p>
  </w:footnote>
  <w:footnote w:id="124">
    <w:p w14:paraId="5A4B177D" w14:textId="77777777" w:rsidR="00C50611" w:rsidRPr="00202013" w:rsidRDefault="00C50611" w:rsidP="00170B6B">
      <w:pPr>
        <w:pStyle w:val="FootnoteText"/>
        <w:rPr>
          <w:lang w:val="en-GB"/>
        </w:rPr>
      </w:pPr>
      <w:r>
        <w:rPr>
          <w:rStyle w:val="FootnoteReference"/>
        </w:rPr>
        <w:footnoteRef/>
      </w:r>
      <w:r>
        <w:t xml:space="preserve"> Rotherham only reported on secondary care reductions (not able to include the same sentence / conclusion for GP hours or social care etc.); Rotherham had higher reductions in A+E attendances. </w:t>
      </w:r>
    </w:p>
  </w:footnote>
  <w:footnote w:id="125">
    <w:p w14:paraId="0DD10289" w14:textId="77777777" w:rsidR="00C50611" w:rsidRPr="00116A7E" w:rsidRDefault="00C50611" w:rsidP="00170B6B">
      <w:pPr>
        <w:pStyle w:val="FootnoteText"/>
        <w:rPr>
          <w:lang w:val="en-GB"/>
        </w:rPr>
      </w:pPr>
      <w:r>
        <w:rPr>
          <w:rStyle w:val="FootnoteReference"/>
        </w:rPr>
        <w:footnoteRef/>
      </w:r>
      <w:r>
        <w:t xml:space="preserve"> </w:t>
      </w:r>
      <w:r w:rsidRPr="00116A7E">
        <w:t>ONS categorises medium as a score of 5 – 6  for life satisfaction, worthwhile and happiness scores and 4 – 5 for anxiety scores</w:t>
      </w:r>
    </w:p>
  </w:footnote>
  <w:footnote w:id="126">
    <w:p w14:paraId="265AF95E" w14:textId="77777777" w:rsidR="00C50611" w:rsidRPr="0071155F" w:rsidRDefault="00C50611" w:rsidP="00170B6B">
      <w:pPr>
        <w:pStyle w:val="FootnoteText"/>
        <w:rPr>
          <w:lang w:val="en-GB"/>
        </w:rPr>
      </w:pPr>
      <w:r>
        <w:rPr>
          <w:rStyle w:val="FootnoteReference"/>
        </w:rPr>
        <w:footnoteRef/>
      </w:r>
      <w:r>
        <w:t xml:space="preserve"> </w:t>
      </w:r>
      <w:r w:rsidRPr="0071155F">
        <w:t>The NET cost avoidance values were established by calculating the difference between the activity reported at baseline and follow-up which was then multiplied by the fiscal value associated with that activity. For example, the difference in reported number of hours spent with the GP at baseline and follow-up was multiplied by the fiscal value for GP cost per hour. This takes into account both reductions and increases in service use reported to provide a net cost avoidance value.</w:t>
      </w:r>
    </w:p>
  </w:footnote>
  <w:footnote w:id="127">
    <w:p w14:paraId="0B1D5C73" w14:textId="77777777" w:rsidR="00C50611" w:rsidRPr="003C61D9" w:rsidRDefault="00C50611" w:rsidP="00170B6B">
      <w:pPr>
        <w:pStyle w:val="FootnoteText"/>
        <w:rPr>
          <w:lang w:val="en-GB"/>
        </w:rPr>
      </w:pPr>
      <w:r>
        <w:rPr>
          <w:rStyle w:val="FootnoteReference"/>
        </w:rPr>
        <w:footnoteRef/>
      </w:r>
      <w:r>
        <w:t xml:space="preserve"> For GP hours this is based on 125 respondents as </w:t>
      </w:r>
      <w:r>
        <w:rPr>
          <w:lang w:val="en-GB"/>
        </w:rPr>
        <w:t>11 respondents did not provide the number of hours they spent with their GP</w:t>
      </w:r>
    </w:p>
  </w:footnote>
  <w:footnote w:id="128">
    <w:p w14:paraId="00705E54" w14:textId="77777777" w:rsidR="00C50611" w:rsidRPr="00BF00D5" w:rsidRDefault="00C50611" w:rsidP="00170B6B">
      <w:pPr>
        <w:pStyle w:val="FootnoteText"/>
        <w:rPr>
          <w:lang w:val="en-GB"/>
        </w:rPr>
      </w:pPr>
      <w:r>
        <w:rPr>
          <w:rStyle w:val="FootnoteReference"/>
        </w:rPr>
        <w:footnoteRef/>
      </w:r>
      <w:r>
        <w:t xml:space="preserve"> </w:t>
      </w:r>
      <w:r>
        <w:rPr>
          <w:lang w:val="en-GB"/>
        </w:rPr>
        <w:t>Two respondents did not provide the number of hours they spent with their GP</w:t>
      </w:r>
    </w:p>
  </w:footnote>
  <w:footnote w:id="129">
    <w:p w14:paraId="71DF78FB" w14:textId="77777777" w:rsidR="00C50611" w:rsidRPr="00A0730D" w:rsidRDefault="00C50611" w:rsidP="00170B6B">
      <w:pPr>
        <w:pStyle w:val="FootnoteText"/>
        <w:rPr>
          <w:lang w:val="en-GB"/>
        </w:rPr>
      </w:pPr>
      <w:r>
        <w:rPr>
          <w:rStyle w:val="FootnoteReference"/>
        </w:rPr>
        <w:footnoteRef/>
      </w:r>
      <w:r>
        <w:t xml:space="preserve"> QALYs </w:t>
      </w:r>
      <w:r w:rsidRPr="00A0730D">
        <w:t>combine length of life with a utility value for health related quality of life (HRQL)</w:t>
      </w:r>
    </w:p>
  </w:footnote>
  <w:footnote w:id="130">
    <w:p w14:paraId="7C5E6577" w14:textId="584C546B" w:rsidR="00F938AF" w:rsidRPr="00171751" w:rsidRDefault="00F938AF" w:rsidP="00F938AF">
      <w:pPr>
        <w:pStyle w:val="FootnoteText"/>
        <w:rPr>
          <w:lang w:val="en-GB"/>
        </w:rPr>
      </w:pPr>
      <w:r>
        <w:rPr>
          <w:rStyle w:val="FootnoteReference"/>
        </w:rPr>
        <w:footnoteRef/>
      </w:r>
      <w:r>
        <w:t xml:space="preserve"> </w:t>
      </w:r>
      <w:r w:rsidR="00D440B4" w:rsidRPr="00D440B4">
        <w:t xml:space="preserve">Relates to the five Social Prescribing that were included in the service user survey. </w:t>
      </w:r>
      <w:r w:rsidRPr="00F938AF">
        <w:t>The survey was completed with service users in Basildon and Brentwood (Social Prescribing project); Castle Point and Rochford (Ways to Wellness project); Mid Essex (Connect Well project); North East Colchester (My Social Prescription project); and West Essex (Smart Life project)</w:t>
      </w:r>
    </w:p>
  </w:footnote>
  <w:footnote w:id="131">
    <w:p w14:paraId="2531256E" w14:textId="77777777" w:rsidR="00C50611" w:rsidRPr="00A0730D" w:rsidRDefault="00C50611" w:rsidP="00170B6B">
      <w:pPr>
        <w:pStyle w:val="FootnoteText"/>
        <w:rPr>
          <w:lang w:val="en-GB"/>
        </w:rPr>
      </w:pPr>
      <w:r>
        <w:rPr>
          <w:rStyle w:val="FootnoteReference"/>
        </w:rPr>
        <w:footnoteRef/>
      </w:r>
      <w:r>
        <w:t xml:space="preserve"> </w:t>
      </w:r>
      <w:r w:rsidRPr="00A0730D">
        <w:t>The NHS values a QALY at between £20,000 and £30,000. This is the threshold for cost-ef</w:t>
      </w:r>
      <w:r>
        <w:t xml:space="preserve">fectiveness recommended by NICE. </w:t>
      </w:r>
      <w:r w:rsidRPr="00A0730D">
        <w:t xml:space="preserve">Taking the lower threshold value, this means that a £100,000 intervention can be considered cost-effective if it </w:t>
      </w:r>
      <w:r>
        <w:t>generates five additional QALYs</w:t>
      </w:r>
    </w:p>
  </w:footnote>
  <w:footnote w:id="132">
    <w:p w14:paraId="33B475B8" w14:textId="490DCD3D" w:rsidR="00C50611" w:rsidRPr="00C50611" w:rsidRDefault="00C50611">
      <w:pPr>
        <w:pStyle w:val="FootnoteText"/>
        <w:rPr>
          <w:lang w:val="en-GB"/>
        </w:rPr>
      </w:pPr>
      <w:r>
        <w:rPr>
          <w:rStyle w:val="FootnoteReference"/>
        </w:rPr>
        <w:footnoteRef/>
      </w:r>
      <w:r>
        <w:t xml:space="preserve"> </w:t>
      </w:r>
      <w:r w:rsidRPr="00C50611">
        <w:t xml:space="preserve">Relates to the five Social Prescribing that were included in the </w:t>
      </w:r>
      <w:r>
        <w:t xml:space="preserve">service </w:t>
      </w:r>
      <w:r w:rsidRPr="00C50611">
        <w:t>user survey</w:t>
      </w:r>
    </w:p>
  </w:footnote>
  <w:footnote w:id="133">
    <w:p w14:paraId="6975AFB8" w14:textId="77777777" w:rsidR="00C50611" w:rsidRPr="00500D23" w:rsidRDefault="00C50611" w:rsidP="00170B6B">
      <w:pPr>
        <w:pStyle w:val="FootnoteText"/>
        <w:rPr>
          <w:lang w:val="en-GB"/>
        </w:rPr>
      </w:pPr>
      <w:r w:rsidRPr="00C507BA">
        <w:rPr>
          <w:rStyle w:val="FootnoteReference"/>
        </w:rPr>
        <w:footnoteRef/>
      </w:r>
      <w:r w:rsidRPr="00C507BA">
        <w:t xml:space="preserve"> </w:t>
      </w:r>
      <w:r w:rsidRPr="00C507BA">
        <w:rPr>
          <w:lang w:val="en-GB"/>
        </w:rPr>
        <w:t xml:space="preserve">Basildon and Brentwood; Castle </w:t>
      </w:r>
      <w:r>
        <w:rPr>
          <w:lang w:val="en-GB"/>
        </w:rPr>
        <w:t>Point and Rochford; Mid Essex;</w:t>
      </w:r>
      <w:r w:rsidRPr="00C507BA">
        <w:rPr>
          <w:lang w:val="en-GB"/>
        </w:rPr>
        <w:t xml:space="preserve"> North East Essex My Social Prescription</w:t>
      </w:r>
      <w:r>
        <w:rPr>
          <w:lang w:val="en-GB"/>
        </w:rPr>
        <w:t xml:space="preserve"> and Southend</w:t>
      </w:r>
      <w:r w:rsidRPr="00C507BA">
        <w:rPr>
          <w:lang w:val="en-GB"/>
        </w:rPr>
        <w:t>. West Essex has not been excluded as no referral target was set</w:t>
      </w:r>
      <w:r>
        <w:rPr>
          <w:lang w:val="en-GB"/>
        </w:rPr>
        <w:t>; Tendring has been excluded as participant numbers were not available for this evaluation</w:t>
      </w:r>
    </w:p>
  </w:footnote>
  <w:footnote w:id="134">
    <w:p w14:paraId="62E31FFA" w14:textId="77777777" w:rsidR="00C50611" w:rsidRPr="00B3780A" w:rsidRDefault="00C50611" w:rsidP="00170B6B">
      <w:pPr>
        <w:pStyle w:val="FootnoteText"/>
        <w:rPr>
          <w:lang w:val="en-GB"/>
        </w:rPr>
      </w:pPr>
      <w:r>
        <w:rPr>
          <w:rStyle w:val="FootnoteReference"/>
        </w:rPr>
        <w:footnoteRef/>
      </w:r>
      <w:r>
        <w:t xml:space="preserve"> </w:t>
      </w:r>
      <w:r w:rsidRPr="005D3808">
        <w:t xml:space="preserve">Total expenditure for the Southend project was £54k; of this £8,370 which was the cost of the Quality for Health licences/ information from </w:t>
      </w:r>
      <w:r>
        <w:t>SAVS</w:t>
      </w:r>
      <w:r w:rsidRPr="005D3808">
        <w:t xml:space="preserve"> indicates that a least 50% of the time and resources were spent on the Quality for Health/VCS capacity building element of the project.  Therefore the amount allocated to the Social Prescription element is £22,815</w:t>
      </w:r>
    </w:p>
  </w:footnote>
  <w:footnote w:id="135">
    <w:p w14:paraId="34D131C1" w14:textId="77777777" w:rsidR="00C50611" w:rsidRPr="003569D2" w:rsidRDefault="00C50611" w:rsidP="00BC0114">
      <w:pPr>
        <w:pStyle w:val="FootnoteText"/>
        <w:rPr>
          <w:lang w:val="en-GB"/>
        </w:rPr>
      </w:pPr>
      <w:r>
        <w:rPr>
          <w:rStyle w:val="FootnoteReference"/>
        </w:rPr>
        <w:footnoteRef/>
      </w:r>
      <w:r>
        <w:t xml:space="preserve"> </w:t>
      </w:r>
      <w:r>
        <w:rPr>
          <w:lang w:val="en-GB"/>
        </w:rPr>
        <w:t>Area Code: Basildon and Brentwood: BB; Castle Point and Rochford: CPR; North East Essex: NE; Mid Essex: ME and West Essex: WE</w:t>
      </w:r>
    </w:p>
  </w:footnote>
  <w:footnote w:id="136">
    <w:p w14:paraId="586E85EA" w14:textId="77777777" w:rsidR="00C50611" w:rsidRPr="00D77F88" w:rsidRDefault="00C50611" w:rsidP="00BC0114">
      <w:pPr>
        <w:pStyle w:val="FootnoteText"/>
        <w:rPr>
          <w:lang w:val="en-GB"/>
        </w:rPr>
      </w:pPr>
      <w:r>
        <w:rPr>
          <w:rStyle w:val="FootnoteReference"/>
        </w:rPr>
        <w:footnoteRef/>
      </w:r>
      <w:r>
        <w:t xml:space="preserve"> Based on the</w:t>
      </w:r>
      <w:r w:rsidRPr="00D77F88">
        <w:t xml:space="preserve"> 4 measures of personal well-bein</w:t>
      </w:r>
      <w:r>
        <w:t>g used by the ONS</w:t>
      </w:r>
    </w:p>
  </w:footnote>
  <w:footnote w:id="137">
    <w:p w14:paraId="231442D1" w14:textId="77777777" w:rsidR="00C50611" w:rsidRPr="00994F72" w:rsidRDefault="00C50611" w:rsidP="00BC0114">
      <w:pPr>
        <w:pStyle w:val="FootnoteText"/>
        <w:rPr>
          <w:lang w:val="en-GB"/>
        </w:rPr>
      </w:pPr>
      <w:r>
        <w:rPr>
          <w:rStyle w:val="FootnoteReference"/>
        </w:rPr>
        <w:footnoteRef/>
      </w:r>
      <w:r>
        <w:t xml:space="preserve"> </w:t>
      </w:r>
      <w:r>
        <w:rPr>
          <w:lang w:val="en-GB"/>
        </w:rPr>
        <w:t xml:space="preserve">We </w:t>
      </w:r>
      <w:r w:rsidRPr="00994F72">
        <w:rPr>
          <w:lang w:val="en-GB"/>
        </w:rPr>
        <w:t>acknowledge that the</w:t>
      </w:r>
      <w:r>
        <w:rPr>
          <w:lang w:val="en-GB"/>
        </w:rPr>
        <w:t>se</w:t>
      </w:r>
      <w:r w:rsidRPr="00994F72">
        <w:rPr>
          <w:lang w:val="en-GB"/>
        </w:rPr>
        <w:t xml:space="preserve"> would usually be appropriate and planned use of care</w:t>
      </w:r>
    </w:p>
  </w:footnote>
  <w:footnote w:id="138">
    <w:p w14:paraId="5B54197A" w14:textId="77777777" w:rsidR="00C50611" w:rsidRPr="00982F1E" w:rsidRDefault="00C50611" w:rsidP="00BC0114">
      <w:pPr>
        <w:pStyle w:val="FootnoteText"/>
        <w:rPr>
          <w:lang w:val="en-GB"/>
        </w:rPr>
      </w:pPr>
      <w:r>
        <w:rPr>
          <w:rStyle w:val="FootnoteReference"/>
        </w:rPr>
        <w:footnoteRef/>
      </w:r>
      <w:r>
        <w:t xml:space="preserve"> </w:t>
      </w:r>
      <w:r>
        <w:rPr>
          <w:lang w:val="en-GB"/>
        </w:rPr>
        <w:t>Based on the EQ5D</w:t>
      </w:r>
      <w:r w:rsidRPr="00982F1E">
        <w:rPr>
          <w:lang w:val="en-GB"/>
        </w:rPr>
        <w:t>L</w:t>
      </w:r>
      <w:r>
        <w:rPr>
          <w:lang w:val="en-GB"/>
        </w:rPr>
        <w:t xml:space="preserve"> Questionnaire</w:t>
      </w:r>
    </w:p>
  </w:footnote>
  <w:footnote w:id="139">
    <w:p w14:paraId="44623716" w14:textId="77777777" w:rsidR="00C50611" w:rsidRPr="00982F1E" w:rsidRDefault="00C50611" w:rsidP="00BC0114">
      <w:pPr>
        <w:pStyle w:val="FootnoteText"/>
        <w:rPr>
          <w:lang w:val="en-GB"/>
        </w:rPr>
      </w:pPr>
      <w:r>
        <w:rPr>
          <w:rStyle w:val="FootnoteReference"/>
        </w:rPr>
        <w:footnoteRef/>
      </w:r>
      <w:r>
        <w:t xml:space="preserve"> Based on the Short Warwick Edinburgh Scale</w:t>
      </w:r>
    </w:p>
  </w:footnote>
  <w:footnote w:id="140">
    <w:p w14:paraId="06E811B3" w14:textId="77777777" w:rsidR="00C50611" w:rsidRPr="00BB5BC9" w:rsidRDefault="00C50611" w:rsidP="00BC0114">
      <w:pPr>
        <w:pStyle w:val="FootnoteText"/>
        <w:rPr>
          <w:lang w:val="en-GB"/>
        </w:rPr>
      </w:pPr>
      <w:r>
        <w:rPr>
          <w:rStyle w:val="FootnoteReference"/>
        </w:rPr>
        <w:footnoteRef/>
      </w:r>
      <w:r>
        <w:t xml:space="preserve"> </w:t>
      </w:r>
      <w:r>
        <w:rPr>
          <w:lang w:val="en-GB"/>
        </w:rPr>
        <w:t>Based on m</w:t>
      </w:r>
      <w:r w:rsidRPr="00BB5BC9">
        <w:rPr>
          <w:lang w:val="en-GB"/>
        </w:rPr>
        <w:t>easure 1.18i/ii from the PHOF and 1i from the ASC OF. Drawn from the Adult Social Care Survey/Personal Social Services Survey of Adult Carers in England.</w:t>
      </w:r>
    </w:p>
  </w:footnote>
  <w:footnote w:id="141">
    <w:p w14:paraId="0FFBB72E" w14:textId="77777777" w:rsidR="00C50611" w:rsidRPr="00982F1E" w:rsidRDefault="00C50611" w:rsidP="00BC0114">
      <w:pPr>
        <w:pStyle w:val="FootnoteText"/>
        <w:rPr>
          <w:lang w:val="en-GB"/>
        </w:rPr>
      </w:pPr>
      <w:r>
        <w:rPr>
          <w:rStyle w:val="FootnoteReference"/>
        </w:rPr>
        <w:footnoteRef/>
      </w:r>
      <w:r>
        <w:t xml:space="preserve"> </w:t>
      </w:r>
      <w:r>
        <w:rPr>
          <w:lang w:val="en-GB"/>
        </w:rPr>
        <w:t>Based on the EQ5D</w:t>
      </w:r>
      <w:r w:rsidRPr="00982F1E">
        <w:rPr>
          <w:lang w:val="en-GB"/>
        </w:rPr>
        <w:t>L</w:t>
      </w:r>
      <w:r>
        <w:rPr>
          <w:lang w:val="en-GB"/>
        </w:rPr>
        <w:t xml:space="preserve"> Questionnaire</w:t>
      </w:r>
    </w:p>
  </w:footnote>
  <w:footnote w:id="142">
    <w:p w14:paraId="3D59C252" w14:textId="77777777" w:rsidR="00C50611" w:rsidRPr="003569D2" w:rsidRDefault="00C50611" w:rsidP="00CC7DAD">
      <w:pPr>
        <w:pStyle w:val="FootnoteText"/>
        <w:rPr>
          <w:lang w:val="en-GB"/>
        </w:rPr>
      </w:pPr>
      <w:r>
        <w:rPr>
          <w:rStyle w:val="FootnoteReference"/>
        </w:rPr>
        <w:footnoteRef/>
      </w:r>
      <w:r>
        <w:t xml:space="preserve"> </w:t>
      </w:r>
      <w:r>
        <w:rPr>
          <w:lang w:val="en-GB"/>
        </w:rPr>
        <w:t>Area Code: Basildon and Brentwood: BB; Castle Point and Rochford: CPR; North East Essex: NE; Mid Essex: ME and West Essex: WE</w:t>
      </w:r>
    </w:p>
  </w:footnote>
  <w:footnote w:id="143">
    <w:p w14:paraId="37808DBE" w14:textId="77777777" w:rsidR="00C50611" w:rsidRPr="00D77F88" w:rsidRDefault="00C50611" w:rsidP="00CC7DAD">
      <w:pPr>
        <w:pStyle w:val="FootnoteText"/>
        <w:rPr>
          <w:lang w:val="en-GB"/>
        </w:rPr>
      </w:pPr>
      <w:r>
        <w:rPr>
          <w:rStyle w:val="FootnoteReference"/>
        </w:rPr>
        <w:footnoteRef/>
      </w:r>
      <w:r>
        <w:t xml:space="preserve"> Based on the</w:t>
      </w:r>
      <w:r w:rsidRPr="00D77F88">
        <w:t xml:space="preserve"> 4 measures of personal well-bein</w:t>
      </w:r>
      <w:r>
        <w:t>g used by the ONS</w:t>
      </w:r>
    </w:p>
  </w:footnote>
  <w:footnote w:id="144">
    <w:p w14:paraId="59CA9693" w14:textId="77777777" w:rsidR="00C50611" w:rsidRPr="00994F72" w:rsidRDefault="00C50611" w:rsidP="00CC7DAD">
      <w:pPr>
        <w:pStyle w:val="FootnoteText"/>
        <w:rPr>
          <w:lang w:val="en-GB"/>
        </w:rPr>
      </w:pPr>
      <w:r>
        <w:rPr>
          <w:rStyle w:val="FootnoteReference"/>
        </w:rPr>
        <w:footnoteRef/>
      </w:r>
      <w:r>
        <w:t xml:space="preserve"> </w:t>
      </w:r>
      <w:r>
        <w:rPr>
          <w:lang w:val="en-GB"/>
        </w:rPr>
        <w:t xml:space="preserve">We </w:t>
      </w:r>
      <w:r w:rsidRPr="00994F72">
        <w:rPr>
          <w:lang w:val="en-GB"/>
        </w:rPr>
        <w:t>acknowledge that the</w:t>
      </w:r>
      <w:r>
        <w:rPr>
          <w:lang w:val="en-GB"/>
        </w:rPr>
        <w:t>se</w:t>
      </w:r>
      <w:r w:rsidRPr="00994F72">
        <w:rPr>
          <w:lang w:val="en-GB"/>
        </w:rPr>
        <w:t xml:space="preserve"> would usually be appropriate and planned use of care</w:t>
      </w:r>
    </w:p>
  </w:footnote>
  <w:footnote w:id="145">
    <w:p w14:paraId="4BFF7C77" w14:textId="77777777" w:rsidR="00C50611" w:rsidRPr="00982F1E" w:rsidRDefault="00C50611" w:rsidP="00CC7DAD">
      <w:pPr>
        <w:pStyle w:val="FootnoteText"/>
        <w:rPr>
          <w:lang w:val="en-GB"/>
        </w:rPr>
      </w:pPr>
      <w:r>
        <w:rPr>
          <w:rStyle w:val="FootnoteReference"/>
        </w:rPr>
        <w:footnoteRef/>
      </w:r>
      <w:r>
        <w:t xml:space="preserve"> </w:t>
      </w:r>
      <w:r>
        <w:rPr>
          <w:lang w:val="en-GB"/>
        </w:rPr>
        <w:t>Based on the EQ5D</w:t>
      </w:r>
      <w:r w:rsidRPr="00982F1E">
        <w:rPr>
          <w:lang w:val="en-GB"/>
        </w:rPr>
        <w:t>L</w:t>
      </w:r>
      <w:r>
        <w:rPr>
          <w:lang w:val="en-GB"/>
        </w:rPr>
        <w:t xml:space="preserve"> Questionnaire</w:t>
      </w:r>
    </w:p>
  </w:footnote>
  <w:footnote w:id="146">
    <w:p w14:paraId="2356ACC3" w14:textId="77777777" w:rsidR="00C50611" w:rsidRPr="00982F1E" w:rsidRDefault="00C50611" w:rsidP="00CC7DAD">
      <w:pPr>
        <w:pStyle w:val="FootnoteText"/>
        <w:rPr>
          <w:lang w:val="en-GB"/>
        </w:rPr>
      </w:pPr>
      <w:r>
        <w:rPr>
          <w:rStyle w:val="FootnoteReference"/>
        </w:rPr>
        <w:footnoteRef/>
      </w:r>
      <w:r>
        <w:t xml:space="preserve"> Based on the Short Warwick Edinburgh Scale</w:t>
      </w:r>
    </w:p>
  </w:footnote>
  <w:footnote w:id="147">
    <w:p w14:paraId="4F2E6BE9" w14:textId="77777777" w:rsidR="00C50611" w:rsidRPr="00BB5BC9" w:rsidRDefault="00C50611" w:rsidP="00CC7DAD">
      <w:pPr>
        <w:pStyle w:val="FootnoteText"/>
        <w:rPr>
          <w:lang w:val="en-GB"/>
        </w:rPr>
      </w:pPr>
      <w:r>
        <w:rPr>
          <w:rStyle w:val="FootnoteReference"/>
        </w:rPr>
        <w:footnoteRef/>
      </w:r>
      <w:r>
        <w:t xml:space="preserve"> </w:t>
      </w:r>
      <w:r>
        <w:rPr>
          <w:lang w:val="en-GB"/>
        </w:rPr>
        <w:t>Based on m</w:t>
      </w:r>
      <w:r w:rsidRPr="00BB5BC9">
        <w:rPr>
          <w:lang w:val="en-GB"/>
        </w:rPr>
        <w:t>easure 1.18i/ii from the PHOF and 1i from the ASC OF. Drawn from the Adult Social Care Survey/Personal Social Services Survey of Adult Carers in England.</w:t>
      </w:r>
    </w:p>
  </w:footnote>
  <w:footnote w:id="148">
    <w:p w14:paraId="42EEB6E4" w14:textId="77777777" w:rsidR="00C50611" w:rsidRPr="00982F1E" w:rsidRDefault="00C50611" w:rsidP="00CC7DAD">
      <w:pPr>
        <w:pStyle w:val="FootnoteText"/>
        <w:rPr>
          <w:lang w:val="en-GB"/>
        </w:rPr>
      </w:pPr>
      <w:r>
        <w:rPr>
          <w:rStyle w:val="FootnoteReference"/>
        </w:rPr>
        <w:footnoteRef/>
      </w:r>
      <w:r>
        <w:t xml:space="preserve"> </w:t>
      </w:r>
      <w:r>
        <w:rPr>
          <w:lang w:val="en-GB"/>
        </w:rPr>
        <w:t>Based on the EQ5D</w:t>
      </w:r>
      <w:r w:rsidRPr="00982F1E">
        <w:rPr>
          <w:lang w:val="en-GB"/>
        </w:rPr>
        <w:t>L</w:t>
      </w:r>
      <w:r>
        <w:rPr>
          <w:lang w:val="en-GB"/>
        </w:rPr>
        <w:t xml:space="preserve"> 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6F51" w14:textId="77777777" w:rsidR="00C50611" w:rsidRPr="00B754D5" w:rsidRDefault="00C50611" w:rsidP="00CB0C4F">
    <w:pPr>
      <w:widowControl/>
      <w:tabs>
        <w:tab w:val="center" w:pos="4320"/>
        <w:tab w:val="right" w:pos="8640"/>
      </w:tabs>
      <w:spacing w:after="60"/>
      <w:jc w:val="both"/>
      <w:rPr>
        <w:rFonts w:eastAsia="Times New Roman" w:cs="Times New Roman"/>
        <w:szCs w:val="24"/>
        <w:lang w:val="en-IE"/>
      </w:rPr>
    </w:pPr>
  </w:p>
  <w:p w14:paraId="651B439A" w14:textId="77777777" w:rsidR="00C50611" w:rsidRPr="00B754D5" w:rsidRDefault="00C50611" w:rsidP="00CB0C4F">
    <w:pPr>
      <w:spacing w:before="0" w:after="0" w:line="240" w:lineRule="auto"/>
      <w:rPr>
        <w:rFonts w:ascii="Prelo Book" w:eastAsia="Prelo Book" w:hAnsi="Prelo Book" w:cs="Prelo Book"/>
        <w:b/>
      </w:rPr>
    </w:pPr>
  </w:p>
  <w:p w14:paraId="61FD483B" w14:textId="77777777" w:rsidR="00C50611" w:rsidRPr="00B754D5" w:rsidRDefault="00C50611" w:rsidP="00CB0C4F">
    <w:pPr>
      <w:spacing w:before="0" w:after="0" w:line="240" w:lineRule="auto"/>
      <w:rPr>
        <w:rFonts w:ascii="Prelo Book" w:eastAsia="Prelo Book" w:hAnsi="Prelo Book" w:cs="Prelo Book"/>
      </w:rPr>
    </w:pPr>
  </w:p>
  <w:p w14:paraId="4CC8DEBE" w14:textId="77777777" w:rsidR="00C50611" w:rsidRPr="00B754D5" w:rsidRDefault="00C50611" w:rsidP="00CB0C4F">
    <w:pPr>
      <w:spacing w:before="0" w:after="0" w:line="240" w:lineRule="auto"/>
      <w:rPr>
        <w:rFonts w:ascii="Prelo Book" w:eastAsia="Prelo Book" w:hAnsi="Prelo Book" w:cs="Prelo Book"/>
      </w:rPr>
    </w:pPr>
  </w:p>
  <w:p w14:paraId="5115FAA9" w14:textId="77777777" w:rsidR="00C50611" w:rsidRPr="00B754D5" w:rsidRDefault="00C50611" w:rsidP="00CB0C4F">
    <w:pPr>
      <w:spacing w:before="0" w:after="0" w:line="240" w:lineRule="auto"/>
      <w:rPr>
        <w:rFonts w:ascii="Prelo Book" w:eastAsia="Prelo Book" w:hAnsi="Prelo Book" w:cs="Prelo Book"/>
      </w:rPr>
    </w:pPr>
  </w:p>
  <w:p w14:paraId="533E04DA" w14:textId="77777777" w:rsidR="00C50611" w:rsidRPr="00B754D5" w:rsidRDefault="00C50611" w:rsidP="00CB0C4F">
    <w:pPr>
      <w:spacing w:before="0" w:after="0" w:line="240" w:lineRule="auto"/>
      <w:rPr>
        <w:rFonts w:ascii="Prelo Book" w:eastAsia="Prelo Book" w:hAnsi="Prelo Book" w:cs="Prelo Book"/>
      </w:rPr>
    </w:pPr>
  </w:p>
  <w:p w14:paraId="0D4D08C6" w14:textId="77777777" w:rsidR="00C50611" w:rsidRPr="00B754D5" w:rsidRDefault="00C50611" w:rsidP="00CB0C4F">
    <w:pPr>
      <w:spacing w:before="0" w:after="0" w:line="240" w:lineRule="auto"/>
      <w:rPr>
        <w:rFonts w:ascii="Prelo Book" w:eastAsia="Prelo Book" w:hAnsi="Prelo Book" w:cs="Prelo Book"/>
      </w:rPr>
    </w:pPr>
  </w:p>
  <w:p w14:paraId="5F5644C8" w14:textId="77777777" w:rsidR="00C50611" w:rsidRPr="00B754D5" w:rsidRDefault="00C50611" w:rsidP="00CB0C4F">
    <w:pPr>
      <w:spacing w:before="0" w:after="0" w:line="240" w:lineRule="auto"/>
      <w:rPr>
        <w:rFonts w:ascii="Prelo Book" w:eastAsia="Prelo Book" w:hAnsi="Prelo Book" w:cs="Prelo Book"/>
      </w:rPr>
    </w:pPr>
  </w:p>
  <w:p w14:paraId="0B9996FC" w14:textId="77777777" w:rsidR="00C50611" w:rsidRPr="00B754D5" w:rsidRDefault="00C50611" w:rsidP="00CB0C4F">
    <w:pPr>
      <w:spacing w:before="0" w:after="0" w:line="240" w:lineRule="auto"/>
      <w:rPr>
        <w:rFonts w:ascii="Prelo Book" w:eastAsia="Prelo Book" w:hAnsi="Prelo Book" w:cs="Prelo Book"/>
      </w:rPr>
    </w:pPr>
  </w:p>
  <w:p w14:paraId="1E41EB5C" w14:textId="77777777" w:rsidR="00C50611" w:rsidRPr="00B754D5" w:rsidRDefault="00C50611" w:rsidP="00CB0C4F">
    <w:pPr>
      <w:spacing w:before="5" w:after="0" w:line="240" w:lineRule="auto"/>
      <w:rPr>
        <w:rFonts w:ascii="Prelo Book" w:eastAsia="Prelo Book" w:hAnsi="Prelo Book" w:cs="Prelo Book"/>
        <w:sz w:val="24"/>
        <w:szCs w:val="24"/>
      </w:rPr>
    </w:pPr>
    <w:r w:rsidRPr="00B754D5">
      <w:rPr>
        <w:rFonts w:ascii="Prelo Book" w:eastAsia="Prelo Book" w:hAnsi="Prelo Book" w:cs="Prelo Book"/>
        <w:noProof/>
        <w:lang w:val="en-GB" w:eastAsia="en-GB"/>
      </w:rPr>
      <mc:AlternateContent>
        <mc:Choice Requires="wpg">
          <w:drawing>
            <wp:anchor distT="0" distB="0" distL="114300" distR="114300" simplePos="0" relativeHeight="251658240" behindDoc="1" locked="0" layoutInCell="1" allowOverlap="1" wp14:anchorId="15D31FCB" wp14:editId="5F77696A">
              <wp:simplePos x="0" y="0"/>
              <wp:positionH relativeFrom="column">
                <wp:posOffset>2381885</wp:posOffset>
              </wp:positionH>
              <wp:positionV relativeFrom="paragraph">
                <wp:posOffset>197485</wp:posOffset>
              </wp:positionV>
              <wp:extent cx="4132580" cy="3353435"/>
              <wp:effectExtent l="0" t="3810" r="3175"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3353435"/>
                        <a:chOff x="0" y="0"/>
                        <a:chExt cx="6508" cy="5281"/>
                      </a:xfrm>
                    </wpg:grpSpPr>
                    <wpg:grpSp>
                      <wpg:cNvPr id="202" name="Group 52"/>
                      <wpg:cNvGrpSpPr>
                        <a:grpSpLocks/>
                      </wpg:cNvGrpSpPr>
                      <wpg:grpSpPr bwMode="auto">
                        <a:xfrm>
                          <a:off x="0" y="0"/>
                          <a:ext cx="6508" cy="5281"/>
                          <a:chOff x="0" y="0"/>
                          <a:chExt cx="6508" cy="5281"/>
                        </a:xfrm>
                      </wpg:grpSpPr>
                      <wps:wsp>
                        <wps:cNvPr id="203" name="Freeform 53"/>
                        <wps:cNvSpPr>
                          <a:spLocks/>
                        </wps:cNvSpPr>
                        <wps:spPr bwMode="auto">
                          <a:xfrm>
                            <a:off x="0" y="0"/>
                            <a:ext cx="6508" cy="5281"/>
                          </a:xfrm>
                          <a:custGeom>
                            <a:avLst/>
                            <a:gdLst>
                              <a:gd name="T0" fmla="*/ 0 w 6508"/>
                              <a:gd name="T1" fmla="*/ 5281 h 5281"/>
                              <a:gd name="T2" fmla="*/ 6508 w 6508"/>
                              <a:gd name="T3" fmla="*/ 5281 h 5281"/>
                              <a:gd name="T4" fmla="*/ 6508 w 6508"/>
                              <a:gd name="T5" fmla="*/ 0 h 5281"/>
                              <a:gd name="T6" fmla="*/ 0 w 6508"/>
                              <a:gd name="T7" fmla="*/ 0 h 5281"/>
                              <a:gd name="T8" fmla="*/ 0 w 6508"/>
                              <a:gd name="T9" fmla="*/ 5281 h 5281"/>
                            </a:gdLst>
                            <a:ahLst/>
                            <a:cxnLst>
                              <a:cxn ang="0">
                                <a:pos x="T0" y="T1"/>
                              </a:cxn>
                              <a:cxn ang="0">
                                <a:pos x="T2" y="T3"/>
                              </a:cxn>
                              <a:cxn ang="0">
                                <a:pos x="T4" y="T5"/>
                              </a:cxn>
                              <a:cxn ang="0">
                                <a:pos x="T6" y="T7"/>
                              </a:cxn>
                              <a:cxn ang="0">
                                <a:pos x="T8" y="T9"/>
                              </a:cxn>
                            </a:cxnLst>
                            <a:rect l="0" t="0" r="r" b="b"/>
                            <a:pathLst>
                              <a:path w="6508" h="5281">
                                <a:moveTo>
                                  <a:pt x="0" y="5281"/>
                                </a:moveTo>
                                <a:lnTo>
                                  <a:pt x="6508" y="5281"/>
                                </a:lnTo>
                                <a:lnTo>
                                  <a:pt x="6508" y="0"/>
                                </a:lnTo>
                                <a:lnTo>
                                  <a:pt x="0" y="0"/>
                                </a:lnTo>
                                <a:lnTo>
                                  <a:pt x="0" y="5281"/>
                                </a:lnTo>
                                <a:close/>
                              </a:path>
                            </a:pathLst>
                          </a:custGeom>
                          <a:solidFill>
                            <a:srgbClr val="00A7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80951A" id="Group 201" o:spid="_x0000_s1026" style="position:absolute;margin-left:187.55pt;margin-top:15.55pt;width:325.4pt;height:264.05pt;z-index:-251658240" coordsize="6508,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">
              <v:group id="Group 52" o:spid="_x0000_s1027" style="position:absolute;width:6508;height:5281" coordsize="6508,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53" o:spid="_x0000_s1028" style="position:absolute;width:6508;height:5281;visibility:visible;mso-wrap-style:square;v-text-anchor:top" coordsize="650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BR8UA&#10;AADcAAAADwAAAGRycy9kb3ducmV2LnhtbESP3YrCMBSE7wXfIRzBm2VN7bJSukYRQRAXEX9g9/LQ&#10;HNtic1KaaOvbG0HwcpiZb5jpvDOVuFHjSssKxqMIBHFmdcm5gtNx9ZmAcB5ZY2WZFNzJwXzW700x&#10;1bblPd0OPhcBwi5FBYX3dSqlywoy6Ea2Jg7e2TYGfZBNLnWDbYCbSsZRNJEGSw4LBda0LCi7HK5G&#10;QR6P283frs4Sk2y/5cfv7tj+S6WGg27xA8JT59/hV3utFcTRFz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FHxQAAANwAAAAPAAAAAAAAAAAAAAAAAJgCAABkcnMv&#10;ZG93bnJldi54bWxQSwUGAAAAAAQABAD1AAAAigMAAAAA&#10;" path="m,5281r6508,l6508,,,,,5281xe" fillcolor="#00a7e1" stroked="f">
                  <v:path arrowok="t" o:connecttype="custom" o:connectlocs="0,5281;6508,5281;6508,0;0,0;0,5281" o:connectangles="0,0,0,0,0"/>
                </v:shape>
              </v:group>
            </v:group>
          </w:pict>
        </mc:Fallback>
      </mc:AlternateContent>
    </w:r>
    <w:r w:rsidRPr="00B754D5">
      <w:rPr>
        <w:rFonts w:ascii="Prelo Book" w:hAnsi="Calibri" w:cs="Times New Roman"/>
        <w:noProof/>
        <w:sz w:val="22"/>
        <w:szCs w:val="22"/>
        <w:lang w:val="en-GB" w:eastAsia="en-GB"/>
      </w:rPr>
      <mc:AlternateContent>
        <mc:Choice Requires="wpg">
          <w:drawing>
            <wp:anchor distT="0" distB="0" distL="114300" distR="114300" simplePos="0" relativeHeight="251657216" behindDoc="1" locked="0" layoutInCell="1" allowOverlap="1" wp14:anchorId="0313E9F8" wp14:editId="2E037622">
              <wp:simplePos x="0" y="0"/>
              <wp:positionH relativeFrom="column">
                <wp:posOffset>-87630</wp:posOffset>
              </wp:positionH>
              <wp:positionV relativeFrom="paragraph">
                <wp:posOffset>193675</wp:posOffset>
              </wp:positionV>
              <wp:extent cx="2304415" cy="3353435"/>
              <wp:effectExtent l="0" t="0" r="635"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3353435"/>
                        <a:chOff x="0" y="0"/>
                        <a:chExt cx="3629" cy="5281"/>
                      </a:xfrm>
                    </wpg:grpSpPr>
                    <wpg:grpSp>
                      <wpg:cNvPr id="199" name="Group 49"/>
                      <wpg:cNvGrpSpPr>
                        <a:grpSpLocks/>
                      </wpg:cNvGrpSpPr>
                      <wpg:grpSpPr bwMode="auto">
                        <a:xfrm>
                          <a:off x="0" y="0"/>
                          <a:ext cx="3629" cy="5281"/>
                          <a:chOff x="0" y="0"/>
                          <a:chExt cx="3629" cy="5281"/>
                        </a:xfrm>
                      </wpg:grpSpPr>
                      <wps:wsp>
                        <wps:cNvPr id="200" name="Freeform 50"/>
                        <wps:cNvSpPr>
                          <a:spLocks/>
                        </wps:cNvSpPr>
                        <wps:spPr bwMode="auto">
                          <a:xfrm>
                            <a:off x="0" y="0"/>
                            <a:ext cx="3629" cy="5281"/>
                          </a:xfrm>
                          <a:custGeom>
                            <a:avLst/>
                            <a:gdLst>
                              <a:gd name="T0" fmla="*/ 0 w 3629"/>
                              <a:gd name="T1" fmla="*/ 5281 h 5281"/>
                              <a:gd name="T2" fmla="*/ 3628 w 3629"/>
                              <a:gd name="T3" fmla="*/ 5281 h 5281"/>
                              <a:gd name="T4" fmla="*/ 3628 w 3629"/>
                              <a:gd name="T5" fmla="*/ 0 h 5281"/>
                              <a:gd name="T6" fmla="*/ 0 w 3629"/>
                              <a:gd name="T7" fmla="*/ 0 h 5281"/>
                              <a:gd name="T8" fmla="*/ 0 w 3629"/>
                              <a:gd name="T9" fmla="*/ 5281 h 5281"/>
                            </a:gdLst>
                            <a:ahLst/>
                            <a:cxnLst>
                              <a:cxn ang="0">
                                <a:pos x="T0" y="T1"/>
                              </a:cxn>
                              <a:cxn ang="0">
                                <a:pos x="T2" y="T3"/>
                              </a:cxn>
                              <a:cxn ang="0">
                                <a:pos x="T4" y="T5"/>
                              </a:cxn>
                              <a:cxn ang="0">
                                <a:pos x="T6" y="T7"/>
                              </a:cxn>
                              <a:cxn ang="0">
                                <a:pos x="T8" y="T9"/>
                              </a:cxn>
                            </a:cxnLst>
                            <a:rect l="0" t="0" r="r" b="b"/>
                            <a:pathLst>
                              <a:path w="3629" h="5281">
                                <a:moveTo>
                                  <a:pt x="0" y="5281"/>
                                </a:moveTo>
                                <a:lnTo>
                                  <a:pt x="3628" y="5281"/>
                                </a:lnTo>
                                <a:lnTo>
                                  <a:pt x="3628" y="0"/>
                                </a:lnTo>
                                <a:lnTo>
                                  <a:pt x="0" y="0"/>
                                </a:lnTo>
                                <a:lnTo>
                                  <a:pt x="0" y="5281"/>
                                </a:lnTo>
                                <a:close/>
                              </a:path>
                            </a:pathLst>
                          </a:custGeom>
                          <a:solidFill>
                            <a:srgbClr val="50B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8C0EF45" id="Group 198" o:spid="_x0000_s1026" style="position:absolute;margin-left:-6.9pt;margin-top:15.25pt;width:181.45pt;height:264.05pt;z-index:-251659264" coordsize="3629,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">
              <v:group id="Group 49" o:spid="_x0000_s1027" style="position:absolute;width:3629;height:5281" coordsize="3629,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50" o:spid="_x0000_s1028" style="position:absolute;width:3629;height:5281;visibility:visible;mso-wrap-style:square;v-text-anchor:top" coordsize="3629,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e98YA&#10;AADcAAAADwAAAGRycy9kb3ducmV2LnhtbESPT2vCQBDF74LfYRmhF6kbK4ikrqLSggc9xD+lxyE7&#10;JsHsbJrdxuindwXB4+PN+71503lrStFQ7QrLCoaDCARxanXBmYLD/vt9AsJ5ZI2lZVJwJQfzWbcz&#10;xVjbCyfU7HwmAoRdjApy76tYSpfmZNANbEUcvJOtDfog60zqGi8Bbkr5EUVjabDg0JBjRauc0vPu&#10;34Q3Vv3lV7U9JtHP7+i25k3S9P+WSr312sUnCE+tfx0/02utIBDhMSYQ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Ue98YAAADcAAAADwAAAAAAAAAAAAAAAACYAgAAZHJz&#10;L2Rvd25yZXYueG1sUEsFBgAAAAAEAAQA9QAAAIsDAAAAAA==&#10;" path="m,5281r3628,l3628,,,,,5281xe" fillcolor="#50b848" stroked="f">
                  <v:path arrowok="t" o:connecttype="custom" o:connectlocs="0,5281;3628,5281;3628,0;0,0;0,5281" o:connectangles="0,0,0,0,0"/>
                </v:shape>
              </v:group>
            </v:group>
          </w:pict>
        </mc:Fallback>
      </mc:AlternateContent>
    </w:r>
    <w:r w:rsidRPr="00B754D5">
      <w:rPr>
        <w:rFonts w:ascii="Prelo Book" w:eastAsia="Prelo Medium" w:hAnsi="Prelo Medium" w:cs="Times New Roman"/>
        <w:noProof/>
        <w:lang w:val="en-GB" w:eastAsia="en-GB"/>
      </w:rPr>
      <mc:AlternateContent>
        <mc:Choice Requires="wpg">
          <w:drawing>
            <wp:anchor distT="0" distB="0" distL="114300" distR="114300" simplePos="0" relativeHeight="251656192" behindDoc="1" locked="0" layoutInCell="1" allowOverlap="1" wp14:anchorId="55D7C22E" wp14:editId="514148A9">
              <wp:simplePos x="0" y="0"/>
              <wp:positionH relativeFrom="column">
                <wp:posOffset>-643890</wp:posOffset>
              </wp:positionH>
              <wp:positionV relativeFrom="paragraph">
                <wp:posOffset>193675</wp:posOffset>
              </wp:positionV>
              <wp:extent cx="432435" cy="3353435"/>
              <wp:effectExtent l="0" t="0" r="5715"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3353435"/>
                        <a:chOff x="0" y="0"/>
                        <a:chExt cx="681" cy="5281"/>
                      </a:xfrm>
                    </wpg:grpSpPr>
                    <wpg:grpSp>
                      <wpg:cNvPr id="324" name="Group 43"/>
                      <wpg:cNvGrpSpPr>
                        <a:grpSpLocks/>
                      </wpg:cNvGrpSpPr>
                      <wpg:grpSpPr bwMode="auto">
                        <a:xfrm>
                          <a:off x="0" y="0"/>
                          <a:ext cx="681" cy="5281"/>
                          <a:chOff x="0" y="0"/>
                          <a:chExt cx="681" cy="5281"/>
                        </a:xfrm>
                      </wpg:grpSpPr>
                      <wps:wsp>
                        <wps:cNvPr id="325" name="Freeform 44"/>
                        <wps:cNvSpPr>
                          <a:spLocks/>
                        </wps:cNvSpPr>
                        <wps:spPr bwMode="auto">
                          <a:xfrm>
                            <a:off x="0" y="0"/>
                            <a:ext cx="681" cy="5281"/>
                          </a:xfrm>
                          <a:custGeom>
                            <a:avLst/>
                            <a:gdLst>
                              <a:gd name="T0" fmla="*/ 0 w 681"/>
                              <a:gd name="T1" fmla="*/ 5281 h 5281"/>
                              <a:gd name="T2" fmla="*/ 680 w 681"/>
                              <a:gd name="T3" fmla="*/ 5281 h 5281"/>
                              <a:gd name="T4" fmla="*/ 680 w 681"/>
                              <a:gd name="T5" fmla="*/ 0 h 5281"/>
                              <a:gd name="T6" fmla="*/ 0 w 681"/>
                              <a:gd name="T7" fmla="*/ 0 h 5281"/>
                              <a:gd name="T8" fmla="*/ 0 w 681"/>
                              <a:gd name="T9" fmla="*/ 5281 h 5281"/>
                            </a:gdLst>
                            <a:ahLst/>
                            <a:cxnLst>
                              <a:cxn ang="0">
                                <a:pos x="T0" y="T1"/>
                              </a:cxn>
                              <a:cxn ang="0">
                                <a:pos x="T2" y="T3"/>
                              </a:cxn>
                              <a:cxn ang="0">
                                <a:pos x="T4" y="T5"/>
                              </a:cxn>
                              <a:cxn ang="0">
                                <a:pos x="T6" y="T7"/>
                              </a:cxn>
                              <a:cxn ang="0">
                                <a:pos x="T8" y="T9"/>
                              </a:cxn>
                            </a:cxnLst>
                            <a:rect l="0" t="0" r="r" b="b"/>
                            <a:pathLst>
                              <a:path w="681" h="5281">
                                <a:moveTo>
                                  <a:pt x="0" y="5281"/>
                                </a:moveTo>
                                <a:lnTo>
                                  <a:pt x="680" y="5281"/>
                                </a:lnTo>
                                <a:lnTo>
                                  <a:pt x="680" y="0"/>
                                </a:lnTo>
                                <a:lnTo>
                                  <a:pt x="0" y="0"/>
                                </a:lnTo>
                                <a:lnTo>
                                  <a:pt x="0" y="5281"/>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CB8F16A" id="Group 323" o:spid="_x0000_s1026" style="position:absolute;margin-left:-50.7pt;margin-top:15.25pt;width:34.05pt;height:264.05pt;z-index:-251660288" coordsize="68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">
              <v:group id="Group 43" o:spid="_x0000_s1027" style="position:absolute;width:681;height:5281" coordsize="681,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4" o:spid="_x0000_s1028" style="position:absolute;width:681;height:5281;visibility:visible;mso-wrap-style:square;v-text-anchor:top" coordsize="68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IRsMA&#10;AADcAAAADwAAAGRycy9kb3ducmV2LnhtbESPQWsCMRSE7wX/Q3iCt5pVWSmrUbRQ8Gi3Hnp8bp67&#10;q5uXkGR1/fdNodDjMDPfMOvtYDpxJx9aywpm0wwEcWV1y7WC09fH6xuIEJE1dpZJwZMCbDejlzUW&#10;2j74k+5lrEWCcChQQROjK6QMVUMGw9Q64uRdrDcYk/S11B4fCW46Oc+ypTTYclpo0NF7Q9Wt7I0C&#10;E4/9qdwvXf19PfQ+O+euy3OlJuNhtwIRaYj/4b/2QStYzH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aIRsMAAADcAAAADwAAAAAAAAAAAAAAAACYAgAAZHJzL2Rv&#10;d25yZXYueG1sUEsFBgAAAAAEAAQA9QAAAIgDAAAAAA==&#10;" path="m,5281r680,l680,,,,,5281xe" fillcolor="#848688" stroked="f">
                  <v:path arrowok="t" o:connecttype="custom" o:connectlocs="0,5281;680,5281;680,0;0,0;0,5281" o:connectangles="0,0,0,0,0"/>
                </v:shape>
              </v:group>
            </v:group>
          </w:pict>
        </mc:Fallback>
      </mc:AlternateContent>
    </w:r>
  </w:p>
  <w:p w14:paraId="61EEE988" w14:textId="77777777" w:rsidR="00C50611" w:rsidRPr="00B754D5" w:rsidRDefault="00C50611" w:rsidP="00CB0C4F">
    <w:pPr>
      <w:spacing w:before="0" w:after="0" w:line="200" w:lineRule="atLeast"/>
      <w:rPr>
        <w:rFonts w:ascii="Prelo Book" w:eastAsia="Prelo Book" w:hAnsi="Prelo Book" w:cs="Prelo Book"/>
      </w:rPr>
    </w:pPr>
    <w:r w:rsidRPr="00B754D5">
      <w:rPr>
        <w:rFonts w:ascii="Prelo Book" w:eastAsia="Prelo Medium" w:hAnsi="Prelo Medium" w:cs="Times New Roman"/>
      </w:rPr>
      <w:tab/>
    </w:r>
    <w:r w:rsidRPr="00B754D5">
      <w:rPr>
        <w:rFonts w:ascii="Prelo Book" w:eastAsia="Prelo Medium" w:hAnsi="Prelo Medium" w:cs="Times New Roman"/>
      </w:rPr>
      <w:tab/>
    </w:r>
  </w:p>
  <w:p w14:paraId="258200B1" w14:textId="77777777" w:rsidR="00C50611" w:rsidRPr="00B754D5" w:rsidRDefault="00C50611" w:rsidP="00CB0C4F">
    <w:pPr>
      <w:spacing w:before="0" w:after="0" w:line="240" w:lineRule="auto"/>
      <w:rPr>
        <w:rFonts w:ascii="Prelo Book" w:eastAsia="Prelo Book" w:hAnsi="Prelo Book" w:cs="Prelo Book"/>
      </w:rPr>
    </w:pPr>
  </w:p>
  <w:p w14:paraId="07614A90" w14:textId="77777777" w:rsidR="00C50611" w:rsidRPr="00B754D5" w:rsidRDefault="00C50611" w:rsidP="00CB0C4F">
    <w:pPr>
      <w:spacing w:before="0" w:after="0" w:line="240" w:lineRule="auto"/>
      <w:rPr>
        <w:rFonts w:ascii="Prelo Book" w:eastAsia="Prelo Book" w:hAnsi="Prelo Book" w:cs="Prelo Book"/>
      </w:rPr>
    </w:pPr>
  </w:p>
  <w:p w14:paraId="3A763BFF" w14:textId="77777777" w:rsidR="00C50611" w:rsidRPr="00B754D5" w:rsidRDefault="00C50611" w:rsidP="00CB0C4F">
    <w:pPr>
      <w:spacing w:before="0" w:after="0" w:line="240" w:lineRule="auto"/>
      <w:rPr>
        <w:rFonts w:ascii="Prelo Book" w:eastAsia="Prelo Book" w:hAnsi="Prelo Book" w:cs="Prelo Book"/>
      </w:rPr>
    </w:pPr>
  </w:p>
  <w:p w14:paraId="64E87CA0" w14:textId="77777777" w:rsidR="00C50611" w:rsidRPr="00B754D5" w:rsidRDefault="00C50611" w:rsidP="00CB0C4F">
    <w:pPr>
      <w:spacing w:before="0" w:after="0" w:line="240" w:lineRule="auto"/>
      <w:ind w:left="993"/>
      <w:rPr>
        <w:rFonts w:ascii="Prelo Book" w:eastAsia="Prelo Book" w:hAnsi="Prelo Book" w:cs="Prelo Book"/>
      </w:rPr>
    </w:pPr>
  </w:p>
  <w:p w14:paraId="460201E8" w14:textId="77777777" w:rsidR="00C50611" w:rsidRPr="00B754D5" w:rsidRDefault="00C50611" w:rsidP="00CB0C4F">
    <w:pPr>
      <w:spacing w:before="0" w:after="0" w:line="240" w:lineRule="auto"/>
      <w:ind w:left="993"/>
      <w:rPr>
        <w:rFonts w:ascii="Prelo Book" w:eastAsia="Prelo Book" w:hAnsi="Prelo Book" w:cs="Prelo Book"/>
      </w:rPr>
    </w:pPr>
  </w:p>
  <w:p w14:paraId="560FFDD1" w14:textId="77777777" w:rsidR="00C50611" w:rsidRPr="00B754D5" w:rsidRDefault="00C50611" w:rsidP="00CB0C4F">
    <w:pPr>
      <w:spacing w:before="0" w:after="0" w:line="240" w:lineRule="auto"/>
      <w:ind w:left="993"/>
      <w:rPr>
        <w:rFonts w:ascii="Prelo Book" w:eastAsia="Prelo Book" w:hAnsi="Prelo Book" w:cs="Prelo Book"/>
      </w:rPr>
    </w:pPr>
  </w:p>
  <w:p w14:paraId="3E892147" w14:textId="77777777" w:rsidR="00C50611" w:rsidRPr="00B754D5" w:rsidRDefault="00C50611" w:rsidP="00CB0C4F">
    <w:pPr>
      <w:spacing w:before="0" w:after="0" w:line="240" w:lineRule="auto"/>
      <w:ind w:left="993"/>
      <w:rPr>
        <w:rFonts w:ascii="Prelo Book" w:eastAsia="Prelo Book" w:hAnsi="Prelo Book" w:cs="Prelo Book"/>
      </w:rPr>
    </w:pPr>
  </w:p>
  <w:p w14:paraId="2DCE7F47" w14:textId="77777777" w:rsidR="00C50611" w:rsidRPr="00B754D5" w:rsidRDefault="00C50611" w:rsidP="00CB0C4F">
    <w:pPr>
      <w:widowControl/>
      <w:spacing w:after="60"/>
      <w:jc w:val="both"/>
      <w:rPr>
        <w:rFonts w:eastAsia="Times New Roman" w:cs="Times New Roman"/>
        <w:szCs w:val="24"/>
        <w:lang w:val="en-IE"/>
      </w:rPr>
    </w:pPr>
  </w:p>
  <w:p w14:paraId="65F5A281" w14:textId="77777777" w:rsidR="00C50611" w:rsidRPr="00B754D5" w:rsidRDefault="00C50611" w:rsidP="00CB0C4F">
    <w:pPr>
      <w:widowControl/>
      <w:spacing w:after="60"/>
      <w:jc w:val="both"/>
      <w:rPr>
        <w:rFonts w:eastAsia="Times New Roman" w:cs="Times New Roman"/>
        <w:szCs w:val="24"/>
        <w:lang w:val="en-IE"/>
      </w:rPr>
    </w:pPr>
  </w:p>
  <w:p w14:paraId="1B68154B" w14:textId="77777777" w:rsidR="00C50611" w:rsidRPr="00B754D5" w:rsidRDefault="00C50611" w:rsidP="00CB0C4F">
    <w:pPr>
      <w:widowControl/>
      <w:tabs>
        <w:tab w:val="center" w:pos="4320"/>
        <w:tab w:val="right" w:pos="8640"/>
      </w:tabs>
      <w:spacing w:after="60"/>
      <w:jc w:val="both"/>
      <w:rPr>
        <w:rFonts w:eastAsia="Times New Roman" w:cs="Times New Roman"/>
        <w:szCs w:val="24"/>
        <w:lang w:val="en-IE"/>
      </w:rPr>
    </w:pPr>
  </w:p>
  <w:p w14:paraId="03059D57" w14:textId="77777777" w:rsidR="00C50611" w:rsidRPr="00B754D5" w:rsidRDefault="00C50611" w:rsidP="00CB0C4F">
    <w:pPr>
      <w:widowControl/>
      <w:spacing w:after="60"/>
      <w:jc w:val="both"/>
      <w:rPr>
        <w:rFonts w:eastAsia="Times New Roman" w:cs="Times New Roman"/>
        <w:szCs w:val="24"/>
        <w:lang w:val="en-IE"/>
      </w:rPr>
    </w:pPr>
  </w:p>
  <w:p w14:paraId="0971C3D6" w14:textId="77777777" w:rsidR="00C50611" w:rsidRPr="00B754D5" w:rsidRDefault="00C50611" w:rsidP="00CB0C4F">
    <w:pPr>
      <w:widowControl/>
      <w:tabs>
        <w:tab w:val="center" w:pos="4320"/>
        <w:tab w:val="right" w:pos="8640"/>
      </w:tabs>
      <w:spacing w:after="60"/>
      <w:ind w:left="709"/>
      <w:jc w:val="both"/>
      <w:rPr>
        <w:rFonts w:eastAsia="Times New Roman" w:cs="Times New Roman"/>
        <w:b/>
        <w:szCs w:val="24"/>
        <w:lang w:val="en-GB"/>
      </w:rPr>
    </w:pPr>
    <w:r w:rsidRPr="00B754D5">
      <w:rPr>
        <w:rFonts w:eastAsia="Times New Roman" w:cs="Times New Roman"/>
        <w:noProof/>
        <w:szCs w:val="24"/>
        <w:lang w:val="en-GB" w:eastAsia="en-GB"/>
      </w:rPr>
      <w:drawing>
        <wp:anchor distT="0" distB="0" distL="114300" distR="114300" simplePos="0" relativeHeight="251655168" behindDoc="1" locked="0" layoutInCell="1" allowOverlap="1" wp14:anchorId="508D4F17" wp14:editId="581FFB13">
          <wp:simplePos x="0" y="0"/>
          <wp:positionH relativeFrom="column">
            <wp:posOffset>4867275</wp:posOffset>
          </wp:positionH>
          <wp:positionV relativeFrom="paragraph">
            <wp:posOffset>51435</wp:posOffset>
          </wp:positionV>
          <wp:extent cx="1581150" cy="96202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RSM logo 168x168 pixels.jpg"/>
                  <pic:cNvPicPr/>
                </pic:nvPicPr>
                <pic:blipFill rotWithShape="1">
                  <a:blip r:embed="rId1">
                    <a:extLst>
                      <a:ext uri="{28A0092B-C50C-407E-A947-70E740481C1C}">
                        <a14:useLocalDpi xmlns:a14="http://schemas.microsoft.com/office/drawing/2010/main" val="0"/>
                      </a:ext>
                    </a:extLst>
                  </a:blip>
                  <a:srcRect t="17411" b="18749"/>
                  <a:stretch/>
                </pic:blipFill>
                <pic:spPr bwMode="auto">
                  <a:xfrm>
                    <a:off x="0" y="0"/>
                    <a:ext cx="158115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2A92E" w14:textId="77777777" w:rsidR="00C50611" w:rsidRPr="00B754D5" w:rsidRDefault="00C50611" w:rsidP="00CB0C4F">
    <w:pPr>
      <w:spacing w:before="0" w:after="0" w:line="198" w:lineRule="exact"/>
      <w:ind w:left="20"/>
      <w:rPr>
        <w:rFonts w:ascii="Prelo Bold" w:hAnsi="Calibri" w:cs="Times New Roman"/>
        <w:b/>
        <w:color w:val="848688"/>
        <w:spacing w:val="4"/>
        <w:w w:val="95"/>
        <w:szCs w:val="22"/>
      </w:rPr>
    </w:pPr>
  </w:p>
  <w:p w14:paraId="05D142A4"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47F6385D"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4BDD16C2" w14:textId="77777777" w:rsidR="00C50611" w:rsidRPr="00B754D5" w:rsidRDefault="00C50611" w:rsidP="00CB0C4F">
    <w:pPr>
      <w:spacing w:before="0" w:after="0" w:line="198" w:lineRule="exact"/>
      <w:ind w:left="20"/>
      <w:rPr>
        <w:rFonts w:ascii="Prelo Bold" w:hAnsi="Calibri" w:cs="Times New Roman"/>
        <w:b/>
        <w:color w:val="848688"/>
        <w:spacing w:val="4"/>
        <w:w w:val="95"/>
        <w:szCs w:val="22"/>
      </w:rPr>
    </w:pPr>
  </w:p>
  <w:p w14:paraId="7BBEFB8C"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68C5195A"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6C6A7652"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4B4A25D1"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7699B0D8" w14:textId="77777777" w:rsidR="00C50611" w:rsidRDefault="00C50611" w:rsidP="00CB0C4F">
    <w:pPr>
      <w:spacing w:before="0" w:after="0" w:line="198" w:lineRule="exact"/>
      <w:ind w:left="20"/>
      <w:rPr>
        <w:rFonts w:ascii="Prelo Bold" w:hAnsi="Calibri" w:cs="Times New Roman"/>
        <w:b/>
        <w:color w:val="848688"/>
        <w:spacing w:val="4"/>
        <w:w w:val="95"/>
        <w:szCs w:val="22"/>
      </w:rPr>
    </w:pPr>
  </w:p>
  <w:p w14:paraId="01223A38" w14:textId="77777777" w:rsidR="00C50611" w:rsidRPr="00B754D5" w:rsidRDefault="00C50611" w:rsidP="00CB0C4F">
    <w:pPr>
      <w:widowControl/>
      <w:tabs>
        <w:tab w:val="center" w:pos="4320"/>
        <w:tab w:val="right" w:pos="8640"/>
      </w:tabs>
      <w:spacing w:after="60"/>
      <w:ind w:left="567"/>
      <w:jc w:val="both"/>
      <w:rPr>
        <w:rFonts w:eastAsia="Times New Roman" w:cs="Times New Roman"/>
        <w:szCs w:val="24"/>
        <w:lang w:val="en-GB"/>
      </w:rPr>
    </w:pPr>
  </w:p>
  <w:p w14:paraId="1920319D" w14:textId="77777777" w:rsidR="00C50611" w:rsidRDefault="00C50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CC40" w14:textId="28CD7A2D" w:rsidR="00C50611" w:rsidRPr="00BF2612" w:rsidRDefault="00C50611" w:rsidP="00481F33">
    <w:pPr>
      <w:pStyle w:val="Header1"/>
      <w:ind w:hanging="567"/>
      <w:rPr>
        <w:b w:val="0"/>
        <w:color w:val="7F7F7F"/>
      </w:rPr>
    </w:pPr>
    <w:r>
      <w:drawing>
        <wp:inline distT="0" distB="0" distL="0" distR="0" wp14:anchorId="34D27F39" wp14:editId="0A678E71">
          <wp:extent cx="7070976" cy="45719"/>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360" cy="505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B129B1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8FCE4DA"/>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nsid w:val="FFFFFF89"/>
    <w:multiLevelType w:val="singleLevel"/>
    <w:tmpl w:val="56AEA15A"/>
    <w:lvl w:ilvl="0">
      <w:start w:val="1"/>
      <w:numFmt w:val="bullet"/>
      <w:pStyle w:val="ListBullet"/>
      <w:lvlText w:val=""/>
      <w:lvlJc w:val="left"/>
      <w:pPr>
        <w:tabs>
          <w:tab w:val="num" w:pos="1440"/>
        </w:tabs>
        <w:ind w:left="1440" w:hanging="360"/>
      </w:pPr>
      <w:rPr>
        <w:rFonts w:ascii="Wingdings" w:hAnsi="Wingdings" w:hint="default"/>
        <w:color w:val="003A7C"/>
      </w:rPr>
    </w:lvl>
  </w:abstractNum>
  <w:abstractNum w:abstractNumId="3">
    <w:nsid w:val="00E92AF3"/>
    <w:multiLevelType w:val="multilevel"/>
    <w:tmpl w:val="ABC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9A2459"/>
    <w:multiLevelType w:val="hybridMultilevel"/>
    <w:tmpl w:val="2BF4A0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027E4242"/>
    <w:multiLevelType w:val="hybridMultilevel"/>
    <w:tmpl w:val="5942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3618B3"/>
    <w:multiLevelType w:val="hybridMultilevel"/>
    <w:tmpl w:val="8C7E2F44"/>
    <w:lvl w:ilvl="0" w:tplc="9CBC695A">
      <w:start w:val="1"/>
      <w:numFmt w:val="bullet"/>
      <w:lvlText w:val="•"/>
      <w:lvlJc w:val="left"/>
      <w:pPr>
        <w:tabs>
          <w:tab w:val="num" w:pos="720"/>
        </w:tabs>
        <w:ind w:left="720" w:hanging="360"/>
      </w:pPr>
      <w:rPr>
        <w:rFonts w:ascii="Arial" w:hAnsi="Arial" w:hint="default"/>
      </w:rPr>
    </w:lvl>
    <w:lvl w:ilvl="1" w:tplc="2F6230B6" w:tentative="1">
      <w:start w:val="1"/>
      <w:numFmt w:val="bullet"/>
      <w:lvlText w:val="•"/>
      <w:lvlJc w:val="left"/>
      <w:pPr>
        <w:tabs>
          <w:tab w:val="num" w:pos="1440"/>
        </w:tabs>
        <w:ind w:left="1440" w:hanging="360"/>
      </w:pPr>
      <w:rPr>
        <w:rFonts w:ascii="Arial" w:hAnsi="Arial" w:hint="default"/>
      </w:rPr>
    </w:lvl>
    <w:lvl w:ilvl="2" w:tplc="103A0538" w:tentative="1">
      <w:start w:val="1"/>
      <w:numFmt w:val="bullet"/>
      <w:lvlText w:val="•"/>
      <w:lvlJc w:val="left"/>
      <w:pPr>
        <w:tabs>
          <w:tab w:val="num" w:pos="2160"/>
        </w:tabs>
        <w:ind w:left="2160" w:hanging="360"/>
      </w:pPr>
      <w:rPr>
        <w:rFonts w:ascii="Arial" w:hAnsi="Arial" w:hint="default"/>
      </w:rPr>
    </w:lvl>
    <w:lvl w:ilvl="3" w:tplc="A4920BC4" w:tentative="1">
      <w:start w:val="1"/>
      <w:numFmt w:val="bullet"/>
      <w:lvlText w:val="•"/>
      <w:lvlJc w:val="left"/>
      <w:pPr>
        <w:tabs>
          <w:tab w:val="num" w:pos="2880"/>
        </w:tabs>
        <w:ind w:left="2880" w:hanging="360"/>
      </w:pPr>
      <w:rPr>
        <w:rFonts w:ascii="Arial" w:hAnsi="Arial" w:hint="default"/>
      </w:rPr>
    </w:lvl>
    <w:lvl w:ilvl="4" w:tplc="CAE0AEF4" w:tentative="1">
      <w:start w:val="1"/>
      <w:numFmt w:val="bullet"/>
      <w:lvlText w:val="•"/>
      <w:lvlJc w:val="left"/>
      <w:pPr>
        <w:tabs>
          <w:tab w:val="num" w:pos="3600"/>
        </w:tabs>
        <w:ind w:left="3600" w:hanging="360"/>
      </w:pPr>
      <w:rPr>
        <w:rFonts w:ascii="Arial" w:hAnsi="Arial" w:hint="default"/>
      </w:rPr>
    </w:lvl>
    <w:lvl w:ilvl="5" w:tplc="7BECAC12" w:tentative="1">
      <w:start w:val="1"/>
      <w:numFmt w:val="bullet"/>
      <w:lvlText w:val="•"/>
      <w:lvlJc w:val="left"/>
      <w:pPr>
        <w:tabs>
          <w:tab w:val="num" w:pos="4320"/>
        </w:tabs>
        <w:ind w:left="4320" w:hanging="360"/>
      </w:pPr>
      <w:rPr>
        <w:rFonts w:ascii="Arial" w:hAnsi="Arial" w:hint="default"/>
      </w:rPr>
    </w:lvl>
    <w:lvl w:ilvl="6" w:tplc="E2A8F97E" w:tentative="1">
      <w:start w:val="1"/>
      <w:numFmt w:val="bullet"/>
      <w:lvlText w:val="•"/>
      <w:lvlJc w:val="left"/>
      <w:pPr>
        <w:tabs>
          <w:tab w:val="num" w:pos="5040"/>
        </w:tabs>
        <w:ind w:left="5040" w:hanging="360"/>
      </w:pPr>
      <w:rPr>
        <w:rFonts w:ascii="Arial" w:hAnsi="Arial" w:hint="default"/>
      </w:rPr>
    </w:lvl>
    <w:lvl w:ilvl="7" w:tplc="E402A446" w:tentative="1">
      <w:start w:val="1"/>
      <w:numFmt w:val="bullet"/>
      <w:lvlText w:val="•"/>
      <w:lvlJc w:val="left"/>
      <w:pPr>
        <w:tabs>
          <w:tab w:val="num" w:pos="5760"/>
        </w:tabs>
        <w:ind w:left="5760" w:hanging="360"/>
      </w:pPr>
      <w:rPr>
        <w:rFonts w:ascii="Arial" w:hAnsi="Arial" w:hint="default"/>
      </w:rPr>
    </w:lvl>
    <w:lvl w:ilvl="8" w:tplc="9B8CB43E" w:tentative="1">
      <w:start w:val="1"/>
      <w:numFmt w:val="bullet"/>
      <w:lvlText w:val="•"/>
      <w:lvlJc w:val="left"/>
      <w:pPr>
        <w:tabs>
          <w:tab w:val="num" w:pos="6480"/>
        </w:tabs>
        <w:ind w:left="6480" w:hanging="360"/>
      </w:pPr>
      <w:rPr>
        <w:rFonts w:ascii="Arial" w:hAnsi="Arial" w:hint="default"/>
      </w:rPr>
    </w:lvl>
  </w:abstractNum>
  <w:abstractNum w:abstractNumId="7">
    <w:nsid w:val="095F3C5D"/>
    <w:multiLevelType w:val="hybridMultilevel"/>
    <w:tmpl w:val="ED3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A60AE9"/>
    <w:multiLevelType w:val="multilevel"/>
    <w:tmpl w:val="B23C1D8E"/>
    <w:lvl w:ilvl="0">
      <w:start w:val="1"/>
      <w:numFmt w:val="decimal"/>
      <w:lvlText w:val="%1."/>
      <w:lvlJc w:val="left"/>
      <w:pPr>
        <w:ind w:left="1699" w:hanging="567"/>
      </w:pPr>
      <w:rPr>
        <w:rFonts w:ascii="Calibri" w:eastAsia="Calibri" w:hAnsi="Calibri" w:hint="default"/>
        <w:color w:val="00B0F0"/>
        <w:spacing w:val="1"/>
        <w:sz w:val="22"/>
        <w:szCs w:val="22"/>
      </w:rPr>
    </w:lvl>
    <w:lvl w:ilvl="1">
      <w:start w:val="1"/>
      <w:numFmt w:val="decimal"/>
      <w:lvlText w:val="%1.%2"/>
      <w:lvlJc w:val="left"/>
      <w:pPr>
        <w:ind w:left="2409" w:hanging="711"/>
      </w:pPr>
      <w:rPr>
        <w:rFonts w:ascii="Calibri" w:eastAsia="Calibri" w:hAnsi="Calibri" w:hint="default"/>
        <w:spacing w:val="1"/>
        <w:sz w:val="22"/>
        <w:szCs w:val="22"/>
      </w:rPr>
    </w:lvl>
    <w:lvl w:ilvl="2">
      <w:start w:val="1"/>
      <w:numFmt w:val="bullet"/>
      <w:lvlText w:val="•"/>
      <w:lvlJc w:val="left"/>
      <w:pPr>
        <w:ind w:left="3464" w:hanging="711"/>
      </w:pPr>
      <w:rPr>
        <w:rFonts w:hint="default"/>
      </w:rPr>
    </w:lvl>
    <w:lvl w:ilvl="3">
      <w:start w:val="1"/>
      <w:numFmt w:val="bullet"/>
      <w:lvlText w:val="•"/>
      <w:lvlJc w:val="left"/>
      <w:pPr>
        <w:ind w:left="4518" w:hanging="711"/>
      </w:pPr>
      <w:rPr>
        <w:rFonts w:hint="default"/>
      </w:rPr>
    </w:lvl>
    <w:lvl w:ilvl="4">
      <w:start w:val="1"/>
      <w:numFmt w:val="bullet"/>
      <w:lvlText w:val="•"/>
      <w:lvlJc w:val="left"/>
      <w:pPr>
        <w:ind w:left="5573" w:hanging="711"/>
      </w:pPr>
      <w:rPr>
        <w:rFonts w:hint="default"/>
      </w:rPr>
    </w:lvl>
    <w:lvl w:ilvl="5">
      <w:start w:val="1"/>
      <w:numFmt w:val="bullet"/>
      <w:lvlText w:val="•"/>
      <w:lvlJc w:val="left"/>
      <w:pPr>
        <w:ind w:left="6627" w:hanging="711"/>
      </w:pPr>
      <w:rPr>
        <w:rFonts w:hint="default"/>
      </w:rPr>
    </w:lvl>
    <w:lvl w:ilvl="6">
      <w:start w:val="1"/>
      <w:numFmt w:val="bullet"/>
      <w:lvlText w:val="•"/>
      <w:lvlJc w:val="left"/>
      <w:pPr>
        <w:ind w:left="7682" w:hanging="711"/>
      </w:pPr>
      <w:rPr>
        <w:rFonts w:hint="default"/>
      </w:rPr>
    </w:lvl>
    <w:lvl w:ilvl="7">
      <w:start w:val="1"/>
      <w:numFmt w:val="bullet"/>
      <w:lvlText w:val="•"/>
      <w:lvlJc w:val="left"/>
      <w:pPr>
        <w:ind w:left="8736" w:hanging="711"/>
      </w:pPr>
      <w:rPr>
        <w:rFonts w:hint="default"/>
      </w:rPr>
    </w:lvl>
    <w:lvl w:ilvl="8">
      <w:start w:val="1"/>
      <w:numFmt w:val="bullet"/>
      <w:lvlText w:val="•"/>
      <w:lvlJc w:val="left"/>
      <w:pPr>
        <w:ind w:left="9791" w:hanging="711"/>
      </w:pPr>
      <w:rPr>
        <w:rFonts w:hint="default"/>
      </w:rPr>
    </w:lvl>
  </w:abstractNum>
  <w:abstractNum w:abstractNumId="9">
    <w:nsid w:val="10037330"/>
    <w:multiLevelType w:val="hybridMultilevel"/>
    <w:tmpl w:val="982C682E"/>
    <w:lvl w:ilvl="0" w:tplc="0620670E">
      <w:start w:val="1"/>
      <w:numFmt w:val="bullet"/>
      <w:lvlText w:val="•"/>
      <w:lvlJc w:val="left"/>
      <w:pPr>
        <w:tabs>
          <w:tab w:val="num" w:pos="720"/>
        </w:tabs>
        <w:ind w:left="720" w:hanging="360"/>
      </w:pPr>
      <w:rPr>
        <w:rFonts w:ascii="Arial" w:hAnsi="Arial" w:hint="default"/>
      </w:rPr>
    </w:lvl>
    <w:lvl w:ilvl="1" w:tplc="06789168" w:tentative="1">
      <w:start w:val="1"/>
      <w:numFmt w:val="bullet"/>
      <w:lvlText w:val="•"/>
      <w:lvlJc w:val="left"/>
      <w:pPr>
        <w:tabs>
          <w:tab w:val="num" w:pos="1440"/>
        </w:tabs>
        <w:ind w:left="1440" w:hanging="360"/>
      </w:pPr>
      <w:rPr>
        <w:rFonts w:ascii="Arial" w:hAnsi="Arial" w:hint="default"/>
      </w:rPr>
    </w:lvl>
    <w:lvl w:ilvl="2" w:tplc="B96862EE" w:tentative="1">
      <w:start w:val="1"/>
      <w:numFmt w:val="bullet"/>
      <w:lvlText w:val="•"/>
      <w:lvlJc w:val="left"/>
      <w:pPr>
        <w:tabs>
          <w:tab w:val="num" w:pos="2160"/>
        </w:tabs>
        <w:ind w:left="2160" w:hanging="360"/>
      </w:pPr>
      <w:rPr>
        <w:rFonts w:ascii="Arial" w:hAnsi="Arial" w:hint="default"/>
      </w:rPr>
    </w:lvl>
    <w:lvl w:ilvl="3" w:tplc="DA963F88" w:tentative="1">
      <w:start w:val="1"/>
      <w:numFmt w:val="bullet"/>
      <w:lvlText w:val="•"/>
      <w:lvlJc w:val="left"/>
      <w:pPr>
        <w:tabs>
          <w:tab w:val="num" w:pos="2880"/>
        </w:tabs>
        <w:ind w:left="2880" w:hanging="360"/>
      </w:pPr>
      <w:rPr>
        <w:rFonts w:ascii="Arial" w:hAnsi="Arial" w:hint="default"/>
      </w:rPr>
    </w:lvl>
    <w:lvl w:ilvl="4" w:tplc="C284DC02" w:tentative="1">
      <w:start w:val="1"/>
      <w:numFmt w:val="bullet"/>
      <w:lvlText w:val="•"/>
      <w:lvlJc w:val="left"/>
      <w:pPr>
        <w:tabs>
          <w:tab w:val="num" w:pos="3600"/>
        </w:tabs>
        <w:ind w:left="3600" w:hanging="360"/>
      </w:pPr>
      <w:rPr>
        <w:rFonts w:ascii="Arial" w:hAnsi="Arial" w:hint="default"/>
      </w:rPr>
    </w:lvl>
    <w:lvl w:ilvl="5" w:tplc="C4660D96" w:tentative="1">
      <w:start w:val="1"/>
      <w:numFmt w:val="bullet"/>
      <w:lvlText w:val="•"/>
      <w:lvlJc w:val="left"/>
      <w:pPr>
        <w:tabs>
          <w:tab w:val="num" w:pos="4320"/>
        </w:tabs>
        <w:ind w:left="4320" w:hanging="360"/>
      </w:pPr>
      <w:rPr>
        <w:rFonts w:ascii="Arial" w:hAnsi="Arial" w:hint="default"/>
      </w:rPr>
    </w:lvl>
    <w:lvl w:ilvl="6" w:tplc="A34AF0D8" w:tentative="1">
      <w:start w:val="1"/>
      <w:numFmt w:val="bullet"/>
      <w:lvlText w:val="•"/>
      <w:lvlJc w:val="left"/>
      <w:pPr>
        <w:tabs>
          <w:tab w:val="num" w:pos="5040"/>
        </w:tabs>
        <w:ind w:left="5040" w:hanging="360"/>
      </w:pPr>
      <w:rPr>
        <w:rFonts w:ascii="Arial" w:hAnsi="Arial" w:hint="default"/>
      </w:rPr>
    </w:lvl>
    <w:lvl w:ilvl="7" w:tplc="4FB2CC90" w:tentative="1">
      <w:start w:val="1"/>
      <w:numFmt w:val="bullet"/>
      <w:lvlText w:val="•"/>
      <w:lvlJc w:val="left"/>
      <w:pPr>
        <w:tabs>
          <w:tab w:val="num" w:pos="5760"/>
        </w:tabs>
        <w:ind w:left="5760" w:hanging="360"/>
      </w:pPr>
      <w:rPr>
        <w:rFonts w:ascii="Arial" w:hAnsi="Arial" w:hint="default"/>
      </w:rPr>
    </w:lvl>
    <w:lvl w:ilvl="8" w:tplc="6B2CD312" w:tentative="1">
      <w:start w:val="1"/>
      <w:numFmt w:val="bullet"/>
      <w:lvlText w:val="•"/>
      <w:lvlJc w:val="left"/>
      <w:pPr>
        <w:tabs>
          <w:tab w:val="num" w:pos="6480"/>
        </w:tabs>
        <w:ind w:left="6480" w:hanging="360"/>
      </w:pPr>
      <w:rPr>
        <w:rFonts w:ascii="Arial" w:hAnsi="Arial" w:hint="default"/>
      </w:rPr>
    </w:lvl>
  </w:abstractNum>
  <w:abstractNum w:abstractNumId="10">
    <w:nsid w:val="11BA326A"/>
    <w:multiLevelType w:val="hybridMultilevel"/>
    <w:tmpl w:val="83A8474C"/>
    <w:lvl w:ilvl="0" w:tplc="43C2E574">
      <w:start w:val="1"/>
      <w:numFmt w:val="bullet"/>
      <w:lvlText w:val=""/>
      <w:lvlJc w:val="left"/>
      <w:pPr>
        <w:ind w:left="408" w:hanging="266"/>
      </w:pPr>
      <w:rPr>
        <w:rFonts w:ascii="Symbol" w:hAnsi="Symbol"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11">
    <w:nsid w:val="12656890"/>
    <w:multiLevelType w:val="hybridMultilevel"/>
    <w:tmpl w:val="72AA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A21580"/>
    <w:multiLevelType w:val="hybridMultilevel"/>
    <w:tmpl w:val="072A4E86"/>
    <w:lvl w:ilvl="0" w:tplc="7DA6BB62">
      <w:start w:val="1"/>
      <w:numFmt w:val="bullet"/>
      <w:lvlText w:val=""/>
      <w:lvlJc w:val="left"/>
      <w:pPr>
        <w:ind w:left="397" w:hanging="255"/>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start w:val="1"/>
      <w:numFmt w:val="bullet"/>
      <w:lvlText w:val=""/>
      <w:lvlJc w:val="left"/>
      <w:pPr>
        <w:ind w:left="2557" w:hanging="360"/>
      </w:pPr>
      <w:rPr>
        <w:rFonts w:ascii="Wingdings" w:hAnsi="Wingdings" w:hint="default"/>
      </w:rPr>
    </w:lvl>
    <w:lvl w:ilvl="3" w:tplc="08090001">
      <w:start w:val="1"/>
      <w:numFmt w:val="bullet"/>
      <w:lvlText w:val=""/>
      <w:lvlJc w:val="left"/>
      <w:pPr>
        <w:ind w:left="3277" w:hanging="360"/>
      </w:pPr>
      <w:rPr>
        <w:rFonts w:ascii="Symbol" w:hAnsi="Symbol" w:hint="default"/>
      </w:rPr>
    </w:lvl>
    <w:lvl w:ilvl="4" w:tplc="08090003">
      <w:start w:val="1"/>
      <w:numFmt w:val="bullet"/>
      <w:lvlText w:val="o"/>
      <w:lvlJc w:val="left"/>
      <w:pPr>
        <w:ind w:left="3997" w:hanging="360"/>
      </w:pPr>
      <w:rPr>
        <w:rFonts w:ascii="Courier New" w:hAnsi="Courier New" w:cs="Courier New" w:hint="default"/>
      </w:rPr>
    </w:lvl>
    <w:lvl w:ilvl="5" w:tplc="08090005">
      <w:start w:val="1"/>
      <w:numFmt w:val="bullet"/>
      <w:lvlText w:val=""/>
      <w:lvlJc w:val="left"/>
      <w:pPr>
        <w:ind w:left="4717" w:hanging="360"/>
      </w:pPr>
      <w:rPr>
        <w:rFonts w:ascii="Wingdings" w:hAnsi="Wingdings" w:hint="default"/>
      </w:rPr>
    </w:lvl>
    <w:lvl w:ilvl="6" w:tplc="08090001">
      <w:start w:val="1"/>
      <w:numFmt w:val="bullet"/>
      <w:lvlText w:val=""/>
      <w:lvlJc w:val="left"/>
      <w:pPr>
        <w:ind w:left="5437" w:hanging="360"/>
      </w:pPr>
      <w:rPr>
        <w:rFonts w:ascii="Symbol" w:hAnsi="Symbol" w:hint="default"/>
      </w:rPr>
    </w:lvl>
    <w:lvl w:ilvl="7" w:tplc="08090003">
      <w:start w:val="1"/>
      <w:numFmt w:val="bullet"/>
      <w:lvlText w:val="o"/>
      <w:lvlJc w:val="left"/>
      <w:pPr>
        <w:ind w:left="6157" w:hanging="360"/>
      </w:pPr>
      <w:rPr>
        <w:rFonts w:ascii="Courier New" w:hAnsi="Courier New" w:cs="Courier New" w:hint="default"/>
      </w:rPr>
    </w:lvl>
    <w:lvl w:ilvl="8" w:tplc="08090005">
      <w:start w:val="1"/>
      <w:numFmt w:val="bullet"/>
      <w:lvlText w:val=""/>
      <w:lvlJc w:val="left"/>
      <w:pPr>
        <w:ind w:left="6877" w:hanging="360"/>
      </w:pPr>
      <w:rPr>
        <w:rFonts w:ascii="Wingdings" w:hAnsi="Wingdings" w:hint="default"/>
      </w:rPr>
    </w:lvl>
  </w:abstractNum>
  <w:abstractNum w:abstractNumId="13">
    <w:nsid w:val="13931362"/>
    <w:multiLevelType w:val="hybridMultilevel"/>
    <w:tmpl w:val="2CD6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C32539"/>
    <w:multiLevelType w:val="hybridMultilevel"/>
    <w:tmpl w:val="66A2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FDF5B4F"/>
    <w:multiLevelType w:val="multilevel"/>
    <w:tmpl w:val="44A02F48"/>
    <w:lvl w:ilvl="0">
      <w:start w:val="1"/>
      <w:numFmt w:val="decimal"/>
      <w:lvlText w:val="Q%1."/>
      <w:lvlJc w:val="left"/>
      <w:pPr>
        <w:tabs>
          <w:tab w:val="num" w:pos="432"/>
        </w:tabs>
        <w:ind w:left="432" w:hanging="432"/>
      </w:pPr>
      <w:rPr>
        <w:rFonts w:cs="Times New Roman" w:hint="default"/>
        <w:b/>
        <w:i w:val="0"/>
        <w:sz w:val="18"/>
      </w:rPr>
    </w:lvl>
    <w:lvl w:ilvl="1">
      <w:start w:val="1"/>
      <w:numFmt w:val="decimal"/>
      <w:lvlText w:val="Q%1.%2"/>
      <w:lvlJc w:val="left"/>
      <w:pPr>
        <w:tabs>
          <w:tab w:val="num" w:pos="-36"/>
        </w:tabs>
        <w:ind w:left="-36" w:hanging="832"/>
      </w:pPr>
      <w:rPr>
        <w:rFonts w:ascii="Arial Unicode MS" w:eastAsia="Arial Unicode MS" w:hAnsi="Arial Unicode MS" w:cs="Times New Roman" w:hint="eastAsia"/>
        <w:b/>
        <w:i w:val="0"/>
        <w:sz w:val="18"/>
      </w:rPr>
    </w:lvl>
    <w:lvl w:ilvl="2">
      <w:start w:val="1"/>
      <w:numFmt w:val="decimal"/>
      <w:lvlText w:val="Q%1.%2.%3"/>
      <w:lvlJc w:val="left"/>
      <w:pPr>
        <w:tabs>
          <w:tab w:val="num" w:pos="-432"/>
        </w:tabs>
        <w:ind w:left="-432" w:hanging="720"/>
      </w:pPr>
      <w:rPr>
        <w:rFonts w:cs="Times New Roman" w:hint="default"/>
        <w:b/>
        <w:i w:val="0"/>
        <w:sz w:val="18"/>
      </w:rPr>
    </w:lvl>
    <w:lvl w:ilvl="3">
      <w:start w:val="1"/>
      <w:numFmt w:val="decimal"/>
      <w:lvlText w:val="%1.%2.%3.%4"/>
      <w:lvlJc w:val="left"/>
      <w:pPr>
        <w:tabs>
          <w:tab w:val="num" w:pos="-288"/>
        </w:tabs>
        <w:ind w:left="-288" w:hanging="864"/>
      </w:pPr>
      <w:rPr>
        <w:rFonts w:cs="Times New Roman" w:hint="default"/>
      </w:rPr>
    </w:lvl>
    <w:lvl w:ilvl="4">
      <w:start w:val="1"/>
      <w:numFmt w:val="decimal"/>
      <w:lvlText w:val="%1.%2.%3.%4.%5"/>
      <w:lvlJc w:val="left"/>
      <w:pPr>
        <w:tabs>
          <w:tab w:val="num" w:pos="-144"/>
        </w:tabs>
        <w:ind w:left="-144" w:hanging="1008"/>
      </w:pPr>
      <w:rPr>
        <w:rFonts w:cs="Times New Roman" w:hint="default"/>
      </w:rPr>
    </w:lvl>
    <w:lvl w:ilvl="5">
      <w:start w:val="1"/>
      <w:numFmt w:val="decimal"/>
      <w:lvlText w:val="%1.%2.%3.%4.%5.%6"/>
      <w:lvlJc w:val="left"/>
      <w:pPr>
        <w:tabs>
          <w:tab w:val="num" w:pos="0"/>
        </w:tabs>
        <w:ind w:left="0" w:hanging="1152"/>
      </w:pPr>
      <w:rPr>
        <w:rFonts w:cs="Times New Roman" w:hint="default"/>
      </w:rPr>
    </w:lvl>
    <w:lvl w:ilvl="6">
      <w:start w:val="1"/>
      <w:numFmt w:val="decimal"/>
      <w:lvlText w:val="%1.%2.%3.%4.%5.%6.%7"/>
      <w:lvlJc w:val="left"/>
      <w:pPr>
        <w:tabs>
          <w:tab w:val="num" w:pos="144"/>
        </w:tabs>
        <w:ind w:left="144" w:hanging="1296"/>
      </w:pPr>
      <w:rPr>
        <w:rFonts w:cs="Times New Roman" w:hint="default"/>
      </w:rPr>
    </w:lvl>
    <w:lvl w:ilvl="7">
      <w:start w:val="1"/>
      <w:numFmt w:val="decimal"/>
      <w:lvlText w:val="%1.%2.%3.%4.%5.%6.%7.%8"/>
      <w:lvlJc w:val="left"/>
      <w:pPr>
        <w:tabs>
          <w:tab w:val="num" w:pos="288"/>
        </w:tabs>
        <w:ind w:left="288" w:hanging="1440"/>
      </w:pPr>
      <w:rPr>
        <w:rFonts w:cs="Times New Roman" w:hint="default"/>
      </w:rPr>
    </w:lvl>
    <w:lvl w:ilvl="8">
      <w:start w:val="1"/>
      <w:numFmt w:val="decimal"/>
      <w:lvlText w:val="%1.%2.%3.%4.%5.%6.%7.%8.%9"/>
      <w:lvlJc w:val="left"/>
      <w:pPr>
        <w:tabs>
          <w:tab w:val="num" w:pos="432"/>
        </w:tabs>
        <w:ind w:left="432" w:hanging="1584"/>
      </w:pPr>
      <w:rPr>
        <w:rFonts w:cs="Times New Roman" w:hint="default"/>
      </w:rPr>
    </w:lvl>
  </w:abstractNum>
  <w:abstractNum w:abstractNumId="16">
    <w:nsid w:val="21F208C4"/>
    <w:multiLevelType w:val="hybridMultilevel"/>
    <w:tmpl w:val="38D80468"/>
    <w:lvl w:ilvl="0" w:tplc="5A3886A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E65886"/>
    <w:multiLevelType w:val="hybridMultilevel"/>
    <w:tmpl w:val="A44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1C4AF4"/>
    <w:multiLevelType w:val="hybridMultilevel"/>
    <w:tmpl w:val="605C1042"/>
    <w:lvl w:ilvl="0" w:tplc="D5CC6D60">
      <w:start w:val="1"/>
      <w:numFmt w:val="bullet"/>
      <w:lvlText w:val=""/>
      <w:lvlJc w:val="left"/>
      <w:pPr>
        <w:ind w:left="1418" w:hanging="338"/>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2DA37C41"/>
    <w:multiLevelType w:val="hybridMultilevel"/>
    <w:tmpl w:val="1F8EF246"/>
    <w:lvl w:ilvl="0" w:tplc="9EB624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B6E12"/>
    <w:multiLevelType w:val="hybridMultilevel"/>
    <w:tmpl w:val="E8E8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3C446E"/>
    <w:multiLevelType w:val="multilevel"/>
    <w:tmpl w:val="00B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E62A46"/>
    <w:multiLevelType w:val="hybridMultilevel"/>
    <w:tmpl w:val="281656AA"/>
    <w:lvl w:ilvl="0" w:tplc="32B846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9737CB"/>
    <w:multiLevelType w:val="hybridMultilevel"/>
    <w:tmpl w:val="3334BD86"/>
    <w:lvl w:ilvl="0" w:tplc="4F5018B6">
      <w:start w:val="1"/>
      <w:numFmt w:val="bullet"/>
      <w:lvlText w:val="•"/>
      <w:lvlJc w:val="left"/>
      <w:pPr>
        <w:tabs>
          <w:tab w:val="num" w:pos="720"/>
        </w:tabs>
        <w:ind w:left="720" w:hanging="360"/>
      </w:pPr>
      <w:rPr>
        <w:rFonts w:ascii="Arial" w:hAnsi="Arial" w:hint="default"/>
      </w:rPr>
    </w:lvl>
    <w:lvl w:ilvl="1" w:tplc="57DC1576" w:tentative="1">
      <w:start w:val="1"/>
      <w:numFmt w:val="bullet"/>
      <w:lvlText w:val="•"/>
      <w:lvlJc w:val="left"/>
      <w:pPr>
        <w:tabs>
          <w:tab w:val="num" w:pos="1440"/>
        </w:tabs>
        <w:ind w:left="1440" w:hanging="360"/>
      </w:pPr>
      <w:rPr>
        <w:rFonts w:ascii="Arial" w:hAnsi="Arial" w:hint="default"/>
      </w:rPr>
    </w:lvl>
    <w:lvl w:ilvl="2" w:tplc="A4DC076E" w:tentative="1">
      <w:start w:val="1"/>
      <w:numFmt w:val="bullet"/>
      <w:lvlText w:val="•"/>
      <w:lvlJc w:val="left"/>
      <w:pPr>
        <w:tabs>
          <w:tab w:val="num" w:pos="2160"/>
        </w:tabs>
        <w:ind w:left="2160" w:hanging="360"/>
      </w:pPr>
      <w:rPr>
        <w:rFonts w:ascii="Arial" w:hAnsi="Arial" w:hint="default"/>
      </w:rPr>
    </w:lvl>
    <w:lvl w:ilvl="3" w:tplc="73FE347C" w:tentative="1">
      <w:start w:val="1"/>
      <w:numFmt w:val="bullet"/>
      <w:lvlText w:val="•"/>
      <w:lvlJc w:val="left"/>
      <w:pPr>
        <w:tabs>
          <w:tab w:val="num" w:pos="2880"/>
        </w:tabs>
        <w:ind w:left="2880" w:hanging="360"/>
      </w:pPr>
      <w:rPr>
        <w:rFonts w:ascii="Arial" w:hAnsi="Arial" w:hint="default"/>
      </w:rPr>
    </w:lvl>
    <w:lvl w:ilvl="4" w:tplc="C316C8D8" w:tentative="1">
      <w:start w:val="1"/>
      <w:numFmt w:val="bullet"/>
      <w:lvlText w:val="•"/>
      <w:lvlJc w:val="left"/>
      <w:pPr>
        <w:tabs>
          <w:tab w:val="num" w:pos="3600"/>
        </w:tabs>
        <w:ind w:left="3600" w:hanging="360"/>
      </w:pPr>
      <w:rPr>
        <w:rFonts w:ascii="Arial" w:hAnsi="Arial" w:hint="default"/>
      </w:rPr>
    </w:lvl>
    <w:lvl w:ilvl="5" w:tplc="91A29836" w:tentative="1">
      <w:start w:val="1"/>
      <w:numFmt w:val="bullet"/>
      <w:lvlText w:val="•"/>
      <w:lvlJc w:val="left"/>
      <w:pPr>
        <w:tabs>
          <w:tab w:val="num" w:pos="4320"/>
        </w:tabs>
        <w:ind w:left="4320" w:hanging="360"/>
      </w:pPr>
      <w:rPr>
        <w:rFonts w:ascii="Arial" w:hAnsi="Arial" w:hint="default"/>
      </w:rPr>
    </w:lvl>
    <w:lvl w:ilvl="6" w:tplc="D2161C7E" w:tentative="1">
      <w:start w:val="1"/>
      <w:numFmt w:val="bullet"/>
      <w:lvlText w:val="•"/>
      <w:lvlJc w:val="left"/>
      <w:pPr>
        <w:tabs>
          <w:tab w:val="num" w:pos="5040"/>
        </w:tabs>
        <w:ind w:left="5040" w:hanging="360"/>
      </w:pPr>
      <w:rPr>
        <w:rFonts w:ascii="Arial" w:hAnsi="Arial" w:hint="default"/>
      </w:rPr>
    </w:lvl>
    <w:lvl w:ilvl="7" w:tplc="6666B300" w:tentative="1">
      <w:start w:val="1"/>
      <w:numFmt w:val="bullet"/>
      <w:lvlText w:val="•"/>
      <w:lvlJc w:val="left"/>
      <w:pPr>
        <w:tabs>
          <w:tab w:val="num" w:pos="5760"/>
        </w:tabs>
        <w:ind w:left="5760" w:hanging="360"/>
      </w:pPr>
      <w:rPr>
        <w:rFonts w:ascii="Arial" w:hAnsi="Arial" w:hint="default"/>
      </w:rPr>
    </w:lvl>
    <w:lvl w:ilvl="8" w:tplc="B6F086CC" w:tentative="1">
      <w:start w:val="1"/>
      <w:numFmt w:val="bullet"/>
      <w:lvlText w:val="•"/>
      <w:lvlJc w:val="left"/>
      <w:pPr>
        <w:tabs>
          <w:tab w:val="num" w:pos="6480"/>
        </w:tabs>
        <w:ind w:left="6480" w:hanging="360"/>
      </w:pPr>
      <w:rPr>
        <w:rFonts w:ascii="Arial" w:hAnsi="Arial" w:hint="default"/>
      </w:rPr>
    </w:lvl>
  </w:abstractNum>
  <w:abstractNum w:abstractNumId="24">
    <w:nsid w:val="3E93429B"/>
    <w:multiLevelType w:val="hybridMultilevel"/>
    <w:tmpl w:val="5942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6542B7"/>
    <w:multiLevelType w:val="multilevel"/>
    <w:tmpl w:val="3C66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294FE4"/>
    <w:multiLevelType w:val="hybridMultilevel"/>
    <w:tmpl w:val="5BFE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5B36EA"/>
    <w:multiLevelType w:val="multilevel"/>
    <w:tmpl w:val="0B30B506"/>
    <w:lvl w:ilvl="0">
      <w:start w:val="1"/>
      <w:numFmt w:val="decimal"/>
      <w:pStyle w:val="Heading1"/>
      <w:lvlText w:val="%1"/>
      <w:lvlJc w:val="left"/>
      <w:pPr>
        <w:tabs>
          <w:tab w:val="num" w:pos="720"/>
        </w:tabs>
        <w:ind w:left="360" w:hanging="360"/>
      </w:pPr>
      <w:rPr>
        <w:i w:val="0"/>
        <w:iCs w:val="0"/>
        <w:caps w:val="0"/>
        <w:smallCaps w:val="0"/>
        <w:strike w:val="0"/>
        <w:dstrike w:val="0"/>
        <w:noProof w:val="0"/>
        <w:vanish w:val="0"/>
        <w:color w:val="3F9C35"/>
        <w:spacing w:val="0"/>
        <w:position w:val="0"/>
        <w:sz w:val="40"/>
        <w:szCs w:val="40"/>
        <w:u w:val="none"/>
        <w:effect w:val="none"/>
        <w:vertAlign w:val="baseline"/>
        <w:em w:val="none"/>
        <w:specVanish w:val="0"/>
      </w:rPr>
    </w:lvl>
    <w:lvl w:ilvl="1">
      <w:start w:val="1"/>
      <w:numFmt w:val="decimal"/>
      <w:pStyle w:val="Heading2"/>
      <w:lvlText w:val="%1.%2"/>
      <w:lvlJc w:val="left"/>
      <w:pPr>
        <w:tabs>
          <w:tab w:val="num" w:pos="3349"/>
        </w:tabs>
        <w:ind w:left="2701"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160"/>
        </w:tabs>
        <w:ind w:left="1224" w:hanging="504"/>
      </w:pPr>
      <w:rPr>
        <w:i w:val="0"/>
        <w:iCs w:val="0"/>
        <w:caps w:val="0"/>
        <w:smallCaps w:val="0"/>
        <w:strike w:val="0"/>
        <w:dstrike w:val="0"/>
        <w:noProof w:val="0"/>
        <w:vanish w:val="0"/>
        <w:color w:val="009CDE"/>
        <w:spacing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47B81B04"/>
    <w:multiLevelType w:val="hybridMultilevel"/>
    <w:tmpl w:val="3964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1D1AD8"/>
    <w:multiLevelType w:val="hybridMultilevel"/>
    <w:tmpl w:val="2E34EAA0"/>
    <w:lvl w:ilvl="0" w:tplc="8C2E5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0A0634"/>
    <w:multiLevelType w:val="hybridMultilevel"/>
    <w:tmpl w:val="76EA61D0"/>
    <w:lvl w:ilvl="0" w:tplc="9EB624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F53829"/>
    <w:multiLevelType w:val="hybridMultilevel"/>
    <w:tmpl w:val="5942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803ACC"/>
    <w:multiLevelType w:val="hybridMultilevel"/>
    <w:tmpl w:val="3232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7A34B5"/>
    <w:multiLevelType w:val="hybridMultilevel"/>
    <w:tmpl w:val="F0E63BB2"/>
    <w:lvl w:ilvl="0" w:tplc="76B475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90B50"/>
    <w:multiLevelType w:val="hybridMultilevel"/>
    <w:tmpl w:val="4E84A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960F2B"/>
    <w:multiLevelType w:val="hybridMultilevel"/>
    <w:tmpl w:val="5942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AB00EB"/>
    <w:multiLevelType w:val="multilevel"/>
    <w:tmpl w:val="44A02F48"/>
    <w:lvl w:ilvl="0">
      <w:start w:val="1"/>
      <w:numFmt w:val="decimal"/>
      <w:lvlText w:val="Q%1."/>
      <w:lvlJc w:val="left"/>
      <w:pPr>
        <w:tabs>
          <w:tab w:val="num" w:pos="858"/>
        </w:tabs>
        <w:ind w:left="858" w:hanging="432"/>
      </w:pPr>
      <w:rPr>
        <w:rFonts w:cs="Times New Roman" w:hint="default"/>
        <w:b/>
        <w:i w:val="0"/>
        <w:sz w:val="18"/>
      </w:rPr>
    </w:lvl>
    <w:lvl w:ilvl="1">
      <w:start w:val="1"/>
      <w:numFmt w:val="decimal"/>
      <w:lvlText w:val="Q%1.%2"/>
      <w:lvlJc w:val="left"/>
      <w:pPr>
        <w:tabs>
          <w:tab w:val="num" w:pos="-36"/>
        </w:tabs>
        <w:ind w:left="-36" w:hanging="832"/>
      </w:pPr>
      <w:rPr>
        <w:rFonts w:ascii="Arial Unicode MS" w:eastAsia="Arial Unicode MS" w:hAnsi="Arial Unicode MS" w:cs="Times New Roman" w:hint="eastAsia"/>
        <w:b/>
        <w:i w:val="0"/>
        <w:sz w:val="18"/>
      </w:rPr>
    </w:lvl>
    <w:lvl w:ilvl="2">
      <w:start w:val="1"/>
      <w:numFmt w:val="decimal"/>
      <w:lvlText w:val="Q%1.%2.%3"/>
      <w:lvlJc w:val="left"/>
      <w:pPr>
        <w:tabs>
          <w:tab w:val="num" w:pos="-432"/>
        </w:tabs>
        <w:ind w:left="-432" w:hanging="720"/>
      </w:pPr>
      <w:rPr>
        <w:rFonts w:cs="Times New Roman" w:hint="default"/>
        <w:b/>
        <w:i w:val="0"/>
        <w:sz w:val="18"/>
      </w:rPr>
    </w:lvl>
    <w:lvl w:ilvl="3">
      <w:start w:val="1"/>
      <w:numFmt w:val="decimal"/>
      <w:lvlText w:val="%1.%2.%3.%4"/>
      <w:lvlJc w:val="left"/>
      <w:pPr>
        <w:tabs>
          <w:tab w:val="num" w:pos="-288"/>
        </w:tabs>
        <w:ind w:left="-288" w:hanging="864"/>
      </w:pPr>
      <w:rPr>
        <w:rFonts w:cs="Times New Roman" w:hint="default"/>
      </w:rPr>
    </w:lvl>
    <w:lvl w:ilvl="4">
      <w:start w:val="1"/>
      <w:numFmt w:val="decimal"/>
      <w:lvlText w:val="%1.%2.%3.%4.%5"/>
      <w:lvlJc w:val="left"/>
      <w:pPr>
        <w:tabs>
          <w:tab w:val="num" w:pos="-144"/>
        </w:tabs>
        <w:ind w:left="-144" w:hanging="1008"/>
      </w:pPr>
      <w:rPr>
        <w:rFonts w:cs="Times New Roman" w:hint="default"/>
      </w:rPr>
    </w:lvl>
    <w:lvl w:ilvl="5">
      <w:start w:val="1"/>
      <w:numFmt w:val="decimal"/>
      <w:lvlText w:val="%1.%2.%3.%4.%5.%6"/>
      <w:lvlJc w:val="left"/>
      <w:pPr>
        <w:tabs>
          <w:tab w:val="num" w:pos="0"/>
        </w:tabs>
        <w:ind w:left="0" w:hanging="1152"/>
      </w:pPr>
      <w:rPr>
        <w:rFonts w:cs="Times New Roman" w:hint="default"/>
      </w:rPr>
    </w:lvl>
    <w:lvl w:ilvl="6">
      <w:start w:val="1"/>
      <w:numFmt w:val="decimal"/>
      <w:lvlText w:val="%1.%2.%3.%4.%5.%6.%7"/>
      <w:lvlJc w:val="left"/>
      <w:pPr>
        <w:tabs>
          <w:tab w:val="num" w:pos="144"/>
        </w:tabs>
        <w:ind w:left="144" w:hanging="1296"/>
      </w:pPr>
      <w:rPr>
        <w:rFonts w:cs="Times New Roman" w:hint="default"/>
      </w:rPr>
    </w:lvl>
    <w:lvl w:ilvl="7">
      <w:start w:val="1"/>
      <w:numFmt w:val="decimal"/>
      <w:lvlText w:val="%1.%2.%3.%4.%5.%6.%7.%8"/>
      <w:lvlJc w:val="left"/>
      <w:pPr>
        <w:tabs>
          <w:tab w:val="num" w:pos="288"/>
        </w:tabs>
        <w:ind w:left="288" w:hanging="1440"/>
      </w:pPr>
      <w:rPr>
        <w:rFonts w:cs="Times New Roman" w:hint="default"/>
      </w:rPr>
    </w:lvl>
    <w:lvl w:ilvl="8">
      <w:start w:val="1"/>
      <w:numFmt w:val="decimal"/>
      <w:lvlText w:val="%1.%2.%3.%4.%5.%6.%7.%8.%9"/>
      <w:lvlJc w:val="left"/>
      <w:pPr>
        <w:tabs>
          <w:tab w:val="num" w:pos="432"/>
        </w:tabs>
        <w:ind w:left="432" w:hanging="1584"/>
      </w:pPr>
      <w:rPr>
        <w:rFonts w:cs="Times New Roman" w:hint="default"/>
      </w:rPr>
    </w:lvl>
  </w:abstractNum>
  <w:abstractNum w:abstractNumId="37">
    <w:nsid w:val="71A6356F"/>
    <w:multiLevelType w:val="hybridMultilevel"/>
    <w:tmpl w:val="DC00A25C"/>
    <w:lvl w:ilvl="0" w:tplc="18B06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3348B"/>
    <w:multiLevelType w:val="hybridMultilevel"/>
    <w:tmpl w:val="5942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6E405C"/>
    <w:multiLevelType w:val="multilevel"/>
    <w:tmpl w:val="44A02F48"/>
    <w:lvl w:ilvl="0">
      <w:start w:val="1"/>
      <w:numFmt w:val="decimal"/>
      <w:lvlText w:val="Q%1."/>
      <w:lvlJc w:val="left"/>
      <w:pPr>
        <w:tabs>
          <w:tab w:val="num" w:pos="432"/>
        </w:tabs>
        <w:ind w:left="432" w:hanging="432"/>
      </w:pPr>
      <w:rPr>
        <w:rFonts w:cs="Times New Roman" w:hint="default"/>
        <w:b/>
        <w:i w:val="0"/>
        <w:sz w:val="18"/>
      </w:rPr>
    </w:lvl>
    <w:lvl w:ilvl="1">
      <w:start w:val="1"/>
      <w:numFmt w:val="decimal"/>
      <w:lvlText w:val="Q%1.%2"/>
      <w:lvlJc w:val="left"/>
      <w:pPr>
        <w:tabs>
          <w:tab w:val="num" w:pos="-36"/>
        </w:tabs>
        <w:ind w:left="-36" w:hanging="832"/>
      </w:pPr>
      <w:rPr>
        <w:rFonts w:ascii="Arial Unicode MS" w:eastAsia="Arial Unicode MS" w:hAnsi="Arial Unicode MS" w:cs="Times New Roman" w:hint="eastAsia"/>
        <w:b/>
        <w:i w:val="0"/>
        <w:sz w:val="18"/>
      </w:rPr>
    </w:lvl>
    <w:lvl w:ilvl="2">
      <w:start w:val="1"/>
      <w:numFmt w:val="decimal"/>
      <w:lvlText w:val="Q%1.%2.%3"/>
      <w:lvlJc w:val="left"/>
      <w:pPr>
        <w:tabs>
          <w:tab w:val="num" w:pos="-432"/>
        </w:tabs>
        <w:ind w:left="-432" w:hanging="720"/>
      </w:pPr>
      <w:rPr>
        <w:rFonts w:cs="Times New Roman" w:hint="default"/>
        <w:b/>
        <w:i w:val="0"/>
        <w:sz w:val="18"/>
      </w:rPr>
    </w:lvl>
    <w:lvl w:ilvl="3">
      <w:start w:val="1"/>
      <w:numFmt w:val="decimal"/>
      <w:lvlText w:val="%1.%2.%3.%4"/>
      <w:lvlJc w:val="left"/>
      <w:pPr>
        <w:tabs>
          <w:tab w:val="num" w:pos="-288"/>
        </w:tabs>
        <w:ind w:left="-288" w:hanging="864"/>
      </w:pPr>
      <w:rPr>
        <w:rFonts w:cs="Times New Roman" w:hint="default"/>
      </w:rPr>
    </w:lvl>
    <w:lvl w:ilvl="4">
      <w:start w:val="1"/>
      <w:numFmt w:val="decimal"/>
      <w:lvlText w:val="%1.%2.%3.%4.%5"/>
      <w:lvlJc w:val="left"/>
      <w:pPr>
        <w:tabs>
          <w:tab w:val="num" w:pos="-144"/>
        </w:tabs>
        <w:ind w:left="-144" w:hanging="1008"/>
      </w:pPr>
      <w:rPr>
        <w:rFonts w:cs="Times New Roman" w:hint="default"/>
      </w:rPr>
    </w:lvl>
    <w:lvl w:ilvl="5">
      <w:start w:val="1"/>
      <w:numFmt w:val="decimal"/>
      <w:lvlText w:val="%1.%2.%3.%4.%5.%6"/>
      <w:lvlJc w:val="left"/>
      <w:pPr>
        <w:tabs>
          <w:tab w:val="num" w:pos="0"/>
        </w:tabs>
        <w:ind w:left="0" w:hanging="1152"/>
      </w:pPr>
      <w:rPr>
        <w:rFonts w:cs="Times New Roman" w:hint="default"/>
      </w:rPr>
    </w:lvl>
    <w:lvl w:ilvl="6">
      <w:start w:val="1"/>
      <w:numFmt w:val="decimal"/>
      <w:lvlText w:val="%1.%2.%3.%4.%5.%6.%7"/>
      <w:lvlJc w:val="left"/>
      <w:pPr>
        <w:tabs>
          <w:tab w:val="num" w:pos="144"/>
        </w:tabs>
        <w:ind w:left="144" w:hanging="1296"/>
      </w:pPr>
      <w:rPr>
        <w:rFonts w:cs="Times New Roman" w:hint="default"/>
      </w:rPr>
    </w:lvl>
    <w:lvl w:ilvl="7">
      <w:start w:val="1"/>
      <w:numFmt w:val="decimal"/>
      <w:lvlText w:val="%1.%2.%3.%4.%5.%6.%7.%8"/>
      <w:lvlJc w:val="left"/>
      <w:pPr>
        <w:tabs>
          <w:tab w:val="num" w:pos="288"/>
        </w:tabs>
        <w:ind w:left="288" w:hanging="1440"/>
      </w:pPr>
      <w:rPr>
        <w:rFonts w:cs="Times New Roman" w:hint="default"/>
      </w:rPr>
    </w:lvl>
    <w:lvl w:ilvl="8">
      <w:start w:val="1"/>
      <w:numFmt w:val="decimal"/>
      <w:lvlText w:val="%1.%2.%3.%4.%5.%6.%7.%8.%9"/>
      <w:lvlJc w:val="left"/>
      <w:pPr>
        <w:tabs>
          <w:tab w:val="num" w:pos="432"/>
        </w:tabs>
        <w:ind w:left="432" w:hanging="1584"/>
      </w:pPr>
      <w:rPr>
        <w:rFonts w:cs="Times New Roman" w:hint="default"/>
      </w:rPr>
    </w:lvl>
  </w:abstractNum>
  <w:abstractNum w:abstractNumId="40">
    <w:nsid w:val="79CF5C4A"/>
    <w:multiLevelType w:val="hybridMultilevel"/>
    <w:tmpl w:val="BE289488"/>
    <w:lvl w:ilvl="0" w:tplc="A2120F28">
      <w:start w:val="1"/>
      <w:numFmt w:val="bullet"/>
      <w:pStyle w:val="-bullet"/>
      <w:lvlText w:val="-"/>
      <w:lvlJc w:val="left"/>
      <w:pPr>
        <w:ind w:left="1854" w:hanging="360"/>
      </w:pPr>
      <w:rPr>
        <w:rFonts w:ascii="Arial" w:hAnsi="Arial" w:hint="default"/>
        <w:color w:val="auto"/>
        <w:sz w:val="16"/>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nsid w:val="7E70620D"/>
    <w:multiLevelType w:val="hybridMultilevel"/>
    <w:tmpl w:val="D572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622F4"/>
    <w:multiLevelType w:val="hybridMultilevel"/>
    <w:tmpl w:val="2B8E7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num>
  <w:num w:numId="2">
    <w:abstractNumId w:val="16"/>
  </w:num>
  <w:num w:numId="3">
    <w:abstractNumId w:val="27"/>
  </w:num>
  <w:num w:numId="4">
    <w:abstractNumId w:val="2"/>
  </w:num>
  <w:num w:numId="5">
    <w:abstractNumId w:val="1"/>
  </w:num>
  <w:num w:numId="6">
    <w:abstractNumId w:val="0"/>
  </w:num>
  <w:num w:numId="7">
    <w:abstractNumId w:val="40"/>
  </w:num>
  <w:num w:numId="8">
    <w:abstractNumId w:val="33"/>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32"/>
  </w:num>
  <w:num w:numId="20">
    <w:abstractNumId w:val="2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8"/>
  </w:num>
  <w:num w:numId="26">
    <w:abstractNumId w:val="14"/>
  </w:num>
  <w:num w:numId="27">
    <w:abstractNumId w:val="23"/>
  </w:num>
  <w:num w:numId="28">
    <w:abstractNumId w:val="9"/>
  </w:num>
  <w:num w:numId="29">
    <w:abstractNumId w:val="26"/>
  </w:num>
  <w:num w:numId="30">
    <w:abstractNumId w:val="21"/>
  </w:num>
  <w:num w:numId="31">
    <w:abstractNumId w:val="25"/>
  </w:num>
  <w:num w:numId="32">
    <w:abstractNumId w:val="13"/>
  </w:num>
  <w:num w:numId="33">
    <w:abstractNumId w:val="34"/>
  </w:num>
  <w:num w:numId="34">
    <w:abstractNumId w:val="19"/>
  </w:num>
  <w:num w:numId="35">
    <w:abstractNumId w:val="30"/>
  </w:num>
  <w:num w:numId="36">
    <w:abstractNumId w:val="8"/>
  </w:num>
  <w:num w:numId="37">
    <w:abstractNumId w:val="37"/>
  </w:num>
  <w:num w:numId="38">
    <w:abstractNumId w:val="15"/>
  </w:num>
  <w:num w:numId="39">
    <w:abstractNumId w:val="31"/>
  </w:num>
  <w:num w:numId="40">
    <w:abstractNumId w:val="35"/>
  </w:num>
  <w:num w:numId="41">
    <w:abstractNumId w:val="5"/>
  </w:num>
  <w:num w:numId="42">
    <w:abstractNumId w:val="24"/>
  </w:num>
  <w:num w:numId="43">
    <w:abstractNumId w:val="38"/>
  </w:num>
  <w:num w:numId="44">
    <w:abstractNumId w:val="17"/>
  </w:num>
  <w:num w:numId="45">
    <w:abstractNumId w:val="41"/>
  </w:num>
  <w:num w:numId="46">
    <w:abstractNumId w:val="36"/>
  </w:num>
  <w:num w:numId="47">
    <w:abstractNumId w:val="11"/>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autoFormatOverrid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C4"/>
    <w:rsid w:val="00000E70"/>
    <w:rsid w:val="0000104E"/>
    <w:rsid w:val="00002B28"/>
    <w:rsid w:val="000061CC"/>
    <w:rsid w:val="00006764"/>
    <w:rsid w:val="00010351"/>
    <w:rsid w:val="00013117"/>
    <w:rsid w:val="000150D8"/>
    <w:rsid w:val="000155C9"/>
    <w:rsid w:val="00015A65"/>
    <w:rsid w:val="0002175F"/>
    <w:rsid w:val="00022474"/>
    <w:rsid w:val="00023FAD"/>
    <w:rsid w:val="0002563B"/>
    <w:rsid w:val="00026D9A"/>
    <w:rsid w:val="00040454"/>
    <w:rsid w:val="00041853"/>
    <w:rsid w:val="00042D6C"/>
    <w:rsid w:val="000435E6"/>
    <w:rsid w:val="0004635D"/>
    <w:rsid w:val="0004699E"/>
    <w:rsid w:val="00047FE7"/>
    <w:rsid w:val="0005438D"/>
    <w:rsid w:val="00057526"/>
    <w:rsid w:val="00057938"/>
    <w:rsid w:val="00060920"/>
    <w:rsid w:val="00062A44"/>
    <w:rsid w:val="00063772"/>
    <w:rsid w:val="0006715F"/>
    <w:rsid w:val="00071448"/>
    <w:rsid w:val="000715B8"/>
    <w:rsid w:val="00073437"/>
    <w:rsid w:val="00073E6C"/>
    <w:rsid w:val="00075B70"/>
    <w:rsid w:val="0007785B"/>
    <w:rsid w:val="00077BD7"/>
    <w:rsid w:val="00080576"/>
    <w:rsid w:val="00081420"/>
    <w:rsid w:val="00082332"/>
    <w:rsid w:val="00082469"/>
    <w:rsid w:val="00084E31"/>
    <w:rsid w:val="00085C66"/>
    <w:rsid w:val="000903C1"/>
    <w:rsid w:val="00090833"/>
    <w:rsid w:val="00094861"/>
    <w:rsid w:val="000955C4"/>
    <w:rsid w:val="000959B7"/>
    <w:rsid w:val="00097D61"/>
    <w:rsid w:val="000A1638"/>
    <w:rsid w:val="000A4023"/>
    <w:rsid w:val="000A7FD5"/>
    <w:rsid w:val="000B16BA"/>
    <w:rsid w:val="000B2C09"/>
    <w:rsid w:val="000B35C4"/>
    <w:rsid w:val="000B4E79"/>
    <w:rsid w:val="000B4FFB"/>
    <w:rsid w:val="000B7E9D"/>
    <w:rsid w:val="000C150B"/>
    <w:rsid w:val="000C2DF2"/>
    <w:rsid w:val="000C6A59"/>
    <w:rsid w:val="000C6A8D"/>
    <w:rsid w:val="000D0C5A"/>
    <w:rsid w:val="000D10F7"/>
    <w:rsid w:val="000D16B1"/>
    <w:rsid w:val="000D1FF8"/>
    <w:rsid w:val="000D21AB"/>
    <w:rsid w:val="000D307F"/>
    <w:rsid w:val="000E01C0"/>
    <w:rsid w:val="000E201A"/>
    <w:rsid w:val="000E22F5"/>
    <w:rsid w:val="000E29CC"/>
    <w:rsid w:val="000E4C87"/>
    <w:rsid w:val="000F08B3"/>
    <w:rsid w:val="000F0FA6"/>
    <w:rsid w:val="000F3A05"/>
    <w:rsid w:val="000F3D1A"/>
    <w:rsid w:val="000F50F9"/>
    <w:rsid w:val="000F5D2B"/>
    <w:rsid w:val="000F7BC3"/>
    <w:rsid w:val="00101C37"/>
    <w:rsid w:val="00103204"/>
    <w:rsid w:val="00104608"/>
    <w:rsid w:val="00104F76"/>
    <w:rsid w:val="0010781F"/>
    <w:rsid w:val="00115113"/>
    <w:rsid w:val="00121089"/>
    <w:rsid w:val="0012257C"/>
    <w:rsid w:val="001227E8"/>
    <w:rsid w:val="00122DA4"/>
    <w:rsid w:val="001230A8"/>
    <w:rsid w:val="00125738"/>
    <w:rsid w:val="00126C92"/>
    <w:rsid w:val="00130399"/>
    <w:rsid w:val="00130415"/>
    <w:rsid w:val="00131B94"/>
    <w:rsid w:val="00135FCC"/>
    <w:rsid w:val="00136493"/>
    <w:rsid w:val="001371E8"/>
    <w:rsid w:val="001422A0"/>
    <w:rsid w:val="00146334"/>
    <w:rsid w:val="0014678A"/>
    <w:rsid w:val="00147A4B"/>
    <w:rsid w:val="00151217"/>
    <w:rsid w:val="001555FB"/>
    <w:rsid w:val="00155AF7"/>
    <w:rsid w:val="00156368"/>
    <w:rsid w:val="00160923"/>
    <w:rsid w:val="00160C04"/>
    <w:rsid w:val="00162884"/>
    <w:rsid w:val="001653CF"/>
    <w:rsid w:val="00170515"/>
    <w:rsid w:val="00170B6B"/>
    <w:rsid w:val="001736DD"/>
    <w:rsid w:val="00174100"/>
    <w:rsid w:val="00176501"/>
    <w:rsid w:val="0018067B"/>
    <w:rsid w:val="001815AB"/>
    <w:rsid w:val="001819AB"/>
    <w:rsid w:val="00183941"/>
    <w:rsid w:val="001873D9"/>
    <w:rsid w:val="00187C4E"/>
    <w:rsid w:val="001909C4"/>
    <w:rsid w:val="00190F7F"/>
    <w:rsid w:val="00193A77"/>
    <w:rsid w:val="00196632"/>
    <w:rsid w:val="001A0253"/>
    <w:rsid w:val="001A0559"/>
    <w:rsid w:val="001A0D48"/>
    <w:rsid w:val="001A1951"/>
    <w:rsid w:val="001A4AA5"/>
    <w:rsid w:val="001B19A3"/>
    <w:rsid w:val="001B5917"/>
    <w:rsid w:val="001B5DB3"/>
    <w:rsid w:val="001B657F"/>
    <w:rsid w:val="001B658F"/>
    <w:rsid w:val="001B73DA"/>
    <w:rsid w:val="001C2546"/>
    <w:rsid w:val="001C2C0A"/>
    <w:rsid w:val="001C59FF"/>
    <w:rsid w:val="001D0455"/>
    <w:rsid w:val="001D0BF7"/>
    <w:rsid w:val="001D2B2B"/>
    <w:rsid w:val="001D34F4"/>
    <w:rsid w:val="001D6498"/>
    <w:rsid w:val="001D776B"/>
    <w:rsid w:val="001E0DD8"/>
    <w:rsid w:val="001E19D8"/>
    <w:rsid w:val="001E37B8"/>
    <w:rsid w:val="001E3F38"/>
    <w:rsid w:val="001E4425"/>
    <w:rsid w:val="001E4853"/>
    <w:rsid w:val="001F0C64"/>
    <w:rsid w:val="001F0FBA"/>
    <w:rsid w:val="001F11DF"/>
    <w:rsid w:val="001F4297"/>
    <w:rsid w:val="001F67BE"/>
    <w:rsid w:val="002008BA"/>
    <w:rsid w:val="00200BC3"/>
    <w:rsid w:val="00202802"/>
    <w:rsid w:val="00202E09"/>
    <w:rsid w:val="00203425"/>
    <w:rsid w:val="00204715"/>
    <w:rsid w:val="002068C4"/>
    <w:rsid w:val="00210867"/>
    <w:rsid w:val="00210DF6"/>
    <w:rsid w:val="002135D3"/>
    <w:rsid w:val="0021419C"/>
    <w:rsid w:val="00214509"/>
    <w:rsid w:val="00214915"/>
    <w:rsid w:val="00214BCE"/>
    <w:rsid w:val="00220102"/>
    <w:rsid w:val="0022697B"/>
    <w:rsid w:val="002313C7"/>
    <w:rsid w:val="002319B1"/>
    <w:rsid w:val="00231AAC"/>
    <w:rsid w:val="002322BD"/>
    <w:rsid w:val="00234FBE"/>
    <w:rsid w:val="002359F6"/>
    <w:rsid w:val="00235F52"/>
    <w:rsid w:val="002401CE"/>
    <w:rsid w:val="00241767"/>
    <w:rsid w:val="00242A80"/>
    <w:rsid w:val="00243FF7"/>
    <w:rsid w:val="00244BB8"/>
    <w:rsid w:val="002451AF"/>
    <w:rsid w:val="00245B86"/>
    <w:rsid w:val="00246F7D"/>
    <w:rsid w:val="00247264"/>
    <w:rsid w:val="00250E02"/>
    <w:rsid w:val="002534BE"/>
    <w:rsid w:val="00254825"/>
    <w:rsid w:val="00256D14"/>
    <w:rsid w:val="002578DF"/>
    <w:rsid w:val="002640F9"/>
    <w:rsid w:val="0026438E"/>
    <w:rsid w:val="00265079"/>
    <w:rsid w:val="00265DC4"/>
    <w:rsid w:val="002673BF"/>
    <w:rsid w:val="002714E7"/>
    <w:rsid w:val="002731F9"/>
    <w:rsid w:val="002752D7"/>
    <w:rsid w:val="00275582"/>
    <w:rsid w:val="002756BF"/>
    <w:rsid w:val="00275F0E"/>
    <w:rsid w:val="002771E9"/>
    <w:rsid w:val="00277805"/>
    <w:rsid w:val="00277979"/>
    <w:rsid w:val="002807D8"/>
    <w:rsid w:val="002830A7"/>
    <w:rsid w:val="0028335A"/>
    <w:rsid w:val="0029034F"/>
    <w:rsid w:val="002908E4"/>
    <w:rsid w:val="00290B36"/>
    <w:rsid w:val="00291710"/>
    <w:rsid w:val="00292081"/>
    <w:rsid w:val="00292879"/>
    <w:rsid w:val="00294B94"/>
    <w:rsid w:val="00295377"/>
    <w:rsid w:val="002966D1"/>
    <w:rsid w:val="002A14C9"/>
    <w:rsid w:val="002A39A0"/>
    <w:rsid w:val="002A3A17"/>
    <w:rsid w:val="002A4AD4"/>
    <w:rsid w:val="002A5904"/>
    <w:rsid w:val="002A6210"/>
    <w:rsid w:val="002B1243"/>
    <w:rsid w:val="002B131C"/>
    <w:rsid w:val="002B636B"/>
    <w:rsid w:val="002C16A9"/>
    <w:rsid w:val="002C1A41"/>
    <w:rsid w:val="002C3F9E"/>
    <w:rsid w:val="002C6441"/>
    <w:rsid w:val="002C6EDD"/>
    <w:rsid w:val="002D09AC"/>
    <w:rsid w:val="002D1716"/>
    <w:rsid w:val="002D21BA"/>
    <w:rsid w:val="002D25F3"/>
    <w:rsid w:val="002D2BBC"/>
    <w:rsid w:val="002D2E66"/>
    <w:rsid w:val="002D3120"/>
    <w:rsid w:val="002D3F51"/>
    <w:rsid w:val="002D5FA9"/>
    <w:rsid w:val="002D7BDF"/>
    <w:rsid w:val="002E0C6A"/>
    <w:rsid w:val="002E131B"/>
    <w:rsid w:val="002E355D"/>
    <w:rsid w:val="002E365D"/>
    <w:rsid w:val="002E39EC"/>
    <w:rsid w:val="002E3C92"/>
    <w:rsid w:val="002E5326"/>
    <w:rsid w:val="002E564C"/>
    <w:rsid w:val="002E717A"/>
    <w:rsid w:val="002E7373"/>
    <w:rsid w:val="002F0DC2"/>
    <w:rsid w:val="002F5091"/>
    <w:rsid w:val="002F5105"/>
    <w:rsid w:val="002F5408"/>
    <w:rsid w:val="002F7652"/>
    <w:rsid w:val="002F7AA6"/>
    <w:rsid w:val="003024D8"/>
    <w:rsid w:val="00302E5C"/>
    <w:rsid w:val="00303461"/>
    <w:rsid w:val="003039A6"/>
    <w:rsid w:val="00306BCD"/>
    <w:rsid w:val="003101C1"/>
    <w:rsid w:val="003110B7"/>
    <w:rsid w:val="00311EE5"/>
    <w:rsid w:val="00312701"/>
    <w:rsid w:val="00320A79"/>
    <w:rsid w:val="00320E5B"/>
    <w:rsid w:val="00326865"/>
    <w:rsid w:val="00327BE1"/>
    <w:rsid w:val="00333628"/>
    <w:rsid w:val="00333AC2"/>
    <w:rsid w:val="00335DB3"/>
    <w:rsid w:val="003370DD"/>
    <w:rsid w:val="003374A8"/>
    <w:rsid w:val="003374D2"/>
    <w:rsid w:val="00337DD5"/>
    <w:rsid w:val="003426C7"/>
    <w:rsid w:val="00344892"/>
    <w:rsid w:val="00344E76"/>
    <w:rsid w:val="003466E7"/>
    <w:rsid w:val="00351B93"/>
    <w:rsid w:val="00352230"/>
    <w:rsid w:val="00354895"/>
    <w:rsid w:val="00354BC4"/>
    <w:rsid w:val="0036053F"/>
    <w:rsid w:val="00362533"/>
    <w:rsid w:val="00364C5E"/>
    <w:rsid w:val="00365232"/>
    <w:rsid w:val="003702C8"/>
    <w:rsid w:val="00370E56"/>
    <w:rsid w:val="00371DE4"/>
    <w:rsid w:val="00373223"/>
    <w:rsid w:val="0037353E"/>
    <w:rsid w:val="00374094"/>
    <w:rsid w:val="00375A26"/>
    <w:rsid w:val="00382852"/>
    <w:rsid w:val="0038594F"/>
    <w:rsid w:val="003865FB"/>
    <w:rsid w:val="00391C72"/>
    <w:rsid w:val="0039390F"/>
    <w:rsid w:val="00393AAD"/>
    <w:rsid w:val="00397B33"/>
    <w:rsid w:val="00397E19"/>
    <w:rsid w:val="003A01B8"/>
    <w:rsid w:val="003A092B"/>
    <w:rsid w:val="003A0BAD"/>
    <w:rsid w:val="003A0CBC"/>
    <w:rsid w:val="003A1414"/>
    <w:rsid w:val="003A21CE"/>
    <w:rsid w:val="003A39BD"/>
    <w:rsid w:val="003A4ABF"/>
    <w:rsid w:val="003A57D7"/>
    <w:rsid w:val="003A5CFC"/>
    <w:rsid w:val="003A5DEA"/>
    <w:rsid w:val="003A7C45"/>
    <w:rsid w:val="003B1C1D"/>
    <w:rsid w:val="003B2DD0"/>
    <w:rsid w:val="003B56B3"/>
    <w:rsid w:val="003B6F39"/>
    <w:rsid w:val="003C0E84"/>
    <w:rsid w:val="003C201A"/>
    <w:rsid w:val="003C333D"/>
    <w:rsid w:val="003C3B49"/>
    <w:rsid w:val="003C5781"/>
    <w:rsid w:val="003C5DF2"/>
    <w:rsid w:val="003C61D9"/>
    <w:rsid w:val="003C6AF7"/>
    <w:rsid w:val="003D2B08"/>
    <w:rsid w:val="003D326D"/>
    <w:rsid w:val="003D3419"/>
    <w:rsid w:val="003D4445"/>
    <w:rsid w:val="003D54E4"/>
    <w:rsid w:val="003D72CF"/>
    <w:rsid w:val="003E138E"/>
    <w:rsid w:val="003E1B81"/>
    <w:rsid w:val="003E2647"/>
    <w:rsid w:val="003E2F6A"/>
    <w:rsid w:val="003E5644"/>
    <w:rsid w:val="003E61D5"/>
    <w:rsid w:val="003E7993"/>
    <w:rsid w:val="003F0282"/>
    <w:rsid w:val="003F02A9"/>
    <w:rsid w:val="003F1632"/>
    <w:rsid w:val="003F1D09"/>
    <w:rsid w:val="003F305B"/>
    <w:rsid w:val="003F5054"/>
    <w:rsid w:val="003F5BBD"/>
    <w:rsid w:val="003F68D1"/>
    <w:rsid w:val="003F7C91"/>
    <w:rsid w:val="00402A15"/>
    <w:rsid w:val="00403DB7"/>
    <w:rsid w:val="00404AE2"/>
    <w:rsid w:val="00404AF1"/>
    <w:rsid w:val="004051E1"/>
    <w:rsid w:val="00411A41"/>
    <w:rsid w:val="00411D05"/>
    <w:rsid w:val="0041235E"/>
    <w:rsid w:val="00414264"/>
    <w:rsid w:val="00415AC3"/>
    <w:rsid w:val="00420EE0"/>
    <w:rsid w:val="004211AE"/>
    <w:rsid w:val="0042197B"/>
    <w:rsid w:val="00421A50"/>
    <w:rsid w:val="00423075"/>
    <w:rsid w:val="00425C28"/>
    <w:rsid w:val="0042631F"/>
    <w:rsid w:val="00426E1D"/>
    <w:rsid w:val="00427AD4"/>
    <w:rsid w:val="00431DF9"/>
    <w:rsid w:val="00434330"/>
    <w:rsid w:val="00435DF4"/>
    <w:rsid w:val="004419E2"/>
    <w:rsid w:val="00443230"/>
    <w:rsid w:val="00444878"/>
    <w:rsid w:val="00447A65"/>
    <w:rsid w:val="00450795"/>
    <w:rsid w:val="0045104A"/>
    <w:rsid w:val="004544C1"/>
    <w:rsid w:val="0045527A"/>
    <w:rsid w:val="0045734D"/>
    <w:rsid w:val="00457ECD"/>
    <w:rsid w:val="00463C81"/>
    <w:rsid w:val="00464599"/>
    <w:rsid w:val="00464A5B"/>
    <w:rsid w:val="00466009"/>
    <w:rsid w:val="0046751A"/>
    <w:rsid w:val="00470199"/>
    <w:rsid w:val="004777E4"/>
    <w:rsid w:val="00477DC1"/>
    <w:rsid w:val="00481A69"/>
    <w:rsid w:val="00481F33"/>
    <w:rsid w:val="00482510"/>
    <w:rsid w:val="0049098A"/>
    <w:rsid w:val="00490A60"/>
    <w:rsid w:val="00493618"/>
    <w:rsid w:val="00495B0B"/>
    <w:rsid w:val="00497892"/>
    <w:rsid w:val="00497FD4"/>
    <w:rsid w:val="004A2385"/>
    <w:rsid w:val="004A6F2B"/>
    <w:rsid w:val="004B0503"/>
    <w:rsid w:val="004B195B"/>
    <w:rsid w:val="004B3AF8"/>
    <w:rsid w:val="004B598E"/>
    <w:rsid w:val="004B6F9E"/>
    <w:rsid w:val="004B7A5F"/>
    <w:rsid w:val="004B7FF5"/>
    <w:rsid w:val="004C3CA8"/>
    <w:rsid w:val="004C527D"/>
    <w:rsid w:val="004C69A0"/>
    <w:rsid w:val="004C6E4D"/>
    <w:rsid w:val="004C7539"/>
    <w:rsid w:val="004D1DB8"/>
    <w:rsid w:val="004D2E4C"/>
    <w:rsid w:val="004D31A9"/>
    <w:rsid w:val="004D3811"/>
    <w:rsid w:val="004D3F13"/>
    <w:rsid w:val="004D534A"/>
    <w:rsid w:val="004D5FD7"/>
    <w:rsid w:val="004D6BD1"/>
    <w:rsid w:val="004D76ED"/>
    <w:rsid w:val="004E0ED9"/>
    <w:rsid w:val="004E4949"/>
    <w:rsid w:val="004E5C44"/>
    <w:rsid w:val="004E6781"/>
    <w:rsid w:val="004E6E5D"/>
    <w:rsid w:val="004E7AFC"/>
    <w:rsid w:val="004F0297"/>
    <w:rsid w:val="004F1265"/>
    <w:rsid w:val="004F1C21"/>
    <w:rsid w:val="004F450C"/>
    <w:rsid w:val="004F5053"/>
    <w:rsid w:val="004F5979"/>
    <w:rsid w:val="004F6120"/>
    <w:rsid w:val="004F67A6"/>
    <w:rsid w:val="004F7D99"/>
    <w:rsid w:val="00500E06"/>
    <w:rsid w:val="005013BE"/>
    <w:rsid w:val="0050165B"/>
    <w:rsid w:val="00502B4D"/>
    <w:rsid w:val="0050373E"/>
    <w:rsid w:val="00506177"/>
    <w:rsid w:val="005110B2"/>
    <w:rsid w:val="0051334C"/>
    <w:rsid w:val="0051418C"/>
    <w:rsid w:val="00514840"/>
    <w:rsid w:val="00516C3A"/>
    <w:rsid w:val="00520950"/>
    <w:rsid w:val="00521F8E"/>
    <w:rsid w:val="005234E1"/>
    <w:rsid w:val="005236E1"/>
    <w:rsid w:val="00524DD1"/>
    <w:rsid w:val="005257A7"/>
    <w:rsid w:val="005334B9"/>
    <w:rsid w:val="00533A30"/>
    <w:rsid w:val="00533AED"/>
    <w:rsid w:val="005352BA"/>
    <w:rsid w:val="00535F99"/>
    <w:rsid w:val="00537949"/>
    <w:rsid w:val="00540676"/>
    <w:rsid w:val="00540A4F"/>
    <w:rsid w:val="00540D55"/>
    <w:rsid w:val="00544808"/>
    <w:rsid w:val="005466D0"/>
    <w:rsid w:val="00546C19"/>
    <w:rsid w:val="00550BF4"/>
    <w:rsid w:val="00550C27"/>
    <w:rsid w:val="00551108"/>
    <w:rsid w:val="00551F48"/>
    <w:rsid w:val="005542BB"/>
    <w:rsid w:val="00554895"/>
    <w:rsid w:val="00555E8D"/>
    <w:rsid w:val="005567E9"/>
    <w:rsid w:val="00556D3B"/>
    <w:rsid w:val="005571B3"/>
    <w:rsid w:val="005624F0"/>
    <w:rsid w:val="00565DFA"/>
    <w:rsid w:val="00566431"/>
    <w:rsid w:val="005669D5"/>
    <w:rsid w:val="00567034"/>
    <w:rsid w:val="00574423"/>
    <w:rsid w:val="00576BED"/>
    <w:rsid w:val="005823D8"/>
    <w:rsid w:val="00586F2B"/>
    <w:rsid w:val="00590237"/>
    <w:rsid w:val="00593FAB"/>
    <w:rsid w:val="00594727"/>
    <w:rsid w:val="00594BB2"/>
    <w:rsid w:val="005978E2"/>
    <w:rsid w:val="005A0355"/>
    <w:rsid w:val="005A34B4"/>
    <w:rsid w:val="005A4218"/>
    <w:rsid w:val="005A5BE5"/>
    <w:rsid w:val="005A796B"/>
    <w:rsid w:val="005B12AF"/>
    <w:rsid w:val="005B1616"/>
    <w:rsid w:val="005B2AE1"/>
    <w:rsid w:val="005B3530"/>
    <w:rsid w:val="005B3898"/>
    <w:rsid w:val="005B591D"/>
    <w:rsid w:val="005B77C6"/>
    <w:rsid w:val="005C4E84"/>
    <w:rsid w:val="005C50DD"/>
    <w:rsid w:val="005C53D0"/>
    <w:rsid w:val="005C6852"/>
    <w:rsid w:val="005D2413"/>
    <w:rsid w:val="005D3808"/>
    <w:rsid w:val="005E0549"/>
    <w:rsid w:val="005E1954"/>
    <w:rsid w:val="005E338B"/>
    <w:rsid w:val="005E4CA1"/>
    <w:rsid w:val="005E5418"/>
    <w:rsid w:val="005F3357"/>
    <w:rsid w:val="005F4474"/>
    <w:rsid w:val="005F660E"/>
    <w:rsid w:val="005F6CF6"/>
    <w:rsid w:val="005F7D08"/>
    <w:rsid w:val="005F7D74"/>
    <w:rsid w:val="00600DF7"/>
    <w:rsid w:val="00601984"/>
    <w:rsid w:val="00602F21"/>
    <w:rsid w:val="006030CC"/>
    <w:rsid w:val="00603E87"/>
    <w:rsid w:val="00604D39"/>
    <w:rsid w:val="006064D7"/>
    <w:rsid w:val="006079CA"/>
    <w:rsid w:val="00610533"/>
    <w:rsid w:val="006111B4"/>
    <w:rsid w:val="0061217A"/>
    <w:rsid w:val="00616395"/>
    <w:rsid w:val="00617970"/>
    <w:rsid w:val="00625F0E"/>
    <w:rsid w:val="00630293"/>
    <w:rsid w:val="00630870"/>
    <w:rsid w:val="00631B3B"/>
    <w:rsid w:val="00633E04"/>
    <w:rsid w:val="00634596"/>
    <w:rsid w:val="00634E36"/>
    <w:rsid w:val="006352E5"/>
    <w:rsid w:val="00636368"/>
    <w:rsid w:val="0063738C"/>
    <w:rsid w:val="00640C6E"/>
    <w:rsid w:val="00640C9F"/>
    <w:rsid w:val="0064167F"/>
    <w:rsid w:val="00642514"/>
    <w:rsid w:val="00642950"/>
    <w:rsid w:val="00651860"/>
    <w:rsid w:val="00651B97"/>
    <w:rsid w:val="00652E77"/>
    <w:rsid w:val="00661A6F"/>
    <w:rsid w:val="0066513B"/>
    <w:rsid w:val="00665473"/>
    <w:rsid w:val="00665776"/>
    <w:rsid w:val="00667E37"/>
    <w:rsid w:val="0067129C"/>
    <w:rsid w:val="006745EF"/>
    <w:rsid w:val="0068064D"/>
    <w:rsid w:val="00680C48"/>
    <w:rsid w:val="006815F8"/>
    <w:rsid w:val="0068209C"/>
    <w:rsid w:val="00683B41"/>
    <w:rsid w:val="00683D0A"/>
    <w:rsid w:val="0068563B"/>
    <w:rsid w:val="00685A00"/>
    <w:rsid w:val="00686DEF"/>
    <w:rsid w:val="0069094E"/>
    <w:rsid w:val="00690D35"/>
    <w:rsid w:val="00692213"/>
    <w:rsid w:val="00692A88"/>
    <w:rsid w:val="00692BEF"/>
    <w:rsid w:val="006950E1"/>
    <w:rsid w:val="00695E00"/>
    <w:rsid w:val="00697B8E"/>
    <w:rsid w:val="006A0C4C"/>
    <w:rsid w:val="006A2860"/>
    <w:rsid w:val="006A6086"/>
    <w:rsid w:val="006A76DB"/>
    <w:rsid w:val="006B2D9D"/>
    <w:rsid w:val="006B3F2E"/>
    <w:rsid w:val="006B4B17"/>
    <w:rsid w:val="006B6D6D"/>
    <w:rsid w:val="006B7B42"/>
    <w:rsid w:val="006C10FF"/>
    <w:rsid w:val="006C315D"/>
    <w:rsid w:val="006C34B6"/>
    <w:rsid w:val="006C59B9"/>
    <w:rsid w:val="006D0CF4"/>
    <w:rsid w:val="006D1CD9"/>
    <w:rsid w:val="006D2173"/>
    <w:rsid w:val="006D3017"/>
    <w:rsid w:val="006D4128"/>
    <w:rsid w:val="006D7DD7"/>
    <w:rsid w:val="006E54B8"/>
    <w:rsid w:val="006E5CC1"/>
    <w:rsid w:val="006E60C0"/>
    <w:rsid w:val="006E7B05"/>
    <w:rsid w:val="006F3E90"/>
    <w:rsid w:val="006F548E"/>
    <w:rsid w:val="006F64AE"/>
    <w:rsid w:val="006F70B1"/>
    <w:rsid w:val="006F7557"/>
    <w:rsid w:val="006F7C5E"/>
    <w:rsid w:val="00701B6D"/>
    <w:rsid w:val="00702FDE"/>
    <w:rsid w:val="00707134"/>
    <w:rsid w:val="007076C3"/>
    <w:rsid w:val="0071116E"/>
    <w:rsid w:val="0071155F"/>
    <w:rsid w:val="00712B4A"/>
    <w:rsid w:val="00712C48"/>
    <w:rsid w:val="007133C1"/>
    <w:rsid w:val="007136F9"/>
    <w:rsid w:val="007200D4"/>
    <w:rsid w:val="007207A6"/>
    <w:rsid w:val="007208F2"/>
    <w:rsid w:val="00720CC0"/>
    <w:rsid w:val="00721E67"/>
    <w:rsid w:val="0072425E"/>
    <w:rsid w:val="0072503F"/>
    <w:rsid w:val="0072612D"/>
    <w:rsid w:val="007267B7"/>
    <w:rsid w:val="00727089"/>
    <w:rsid w:val="00727705"/>
    <w:rsid w:val="0073072B"/>
    <w:rsid w:val="007322A2"/>
    <w:rsid w:val="007329FF"/>
    <w:rsid w:val="00735488"/>
    <w:rsid w:val="00735B2B"/>
    <w:rsid w:val="007369A5"/>
    <w:rsid w:val="00737903"/>
    <w:rsid w:val="0073799D"/>
    <w:rsid w:val="00737A18"/>
    <w:rsid w:val="00745787"/>
    <w:rsid w:val="007465C5"/>
    <w:rsid w:val="0074762C"/>
    <w:rsid w:val="0075041A"/>
    <w:rsid w:val="00751620"/>
    <w:rsid w:val="00752506"/>
    <w:rsid w:val="00752B6F"/>
    <w:rsid w:val="00754D5E"/>
    <w:rsid w:val="00755187"/>
    <w:rsid w:val="00756EB7"/>
    <w:rsid w:val="007607B9"/>
    <w:rsid w:val="00760EA4"/>
    <w:rsid w:val="00761A89"/>
    <w:rsid w:val="00761EDD"/>
    <w:rsid w:val="00763A9B"/>
    <w:rsid w:val="00764687"/>
    <w:rsid w:val="00766FC7"/>
    <w:rsid w:val="0076739E"/>
    <w:rsid w:val="00771CC1"/>
    <w:rsid w:val="00774FF7"/>
    <w:rsid w:val="00776D5E"/>
    <w:rsid w:val="00780527"/>
    <w:rsid w:val="007813EC"/>
    <w:rsid w:val="00781B23"/>
    <w:rsid w:val="00784C80"/>
    <w:rsid w:val="007856B3"/>
    <w:rsid w:val="00786CCB"/>
    <w:rsid w:val="00790975"/>
    <w:rsid w:val="00790CFC"/>
    <w:rsid w:val="00793940"/>
    <w:rsid w:val="007A2928"/>
    <w:rsid w:val="007A2A55"/>
    <w:rsid w:val="007A3CC4"/>
    <w:rsid w:val="007A3E40"/>
    <w:rsid w:val="007A4929"/>
    <w:rsid w:val="007A507D"/>
    <w:rsid w:val="007A63B1"/>
    <w:rsid w:val="007B26F4"/>
    <w:rsid w:val="007B29E2"/>
    <w:rsid w:val="007B3786"/>
    <w:rsid w:val="007B3F9E"/>
    <w:rsid w:val="007B70A9"/>
    <w:rsid w:val="007B75B9"/>
    <w:rsid w:val="007C0576"/>
    <w:rsid w:val="007C3F9E"/>
    <w:rsid w:val="007D064E"/>
    <w:rsid w:val="007D0DF3"/>
    <w:rsid w:val="007D6B53"/>
    <w:rsid w:val="007D7505"/>
    <w:rsid w:val="007E0A90"/>
    <w:rsid w:val="007E11DC"/>
    <w:rsid w:val="007E2464"/>
    <w:rsid w:val="007E308C"/>
    <w:rsid w:val="007E5C13"/>
    <w:rsid w:val="007E7CA8"/>
    <w:rsid w:val="007F11D5"/>
    <w:rsid w:val="007F7C91"/>
    <w:rsid w:val="00800B88"/>
    <w:rsid w:val="0080102C"/>
    <w:rsid w:val="00802B05"/>
    <w:rsid w:val="00803A29"/>
    <w:rsid w:val="008109A0"/>
    <w:rsid w:val="0081141D"/>
    <w:rsid w:val="00813E86"/>
    <w:rsid w:val="00814FB2"/>
    <w:rsid w:val="008207BA"/>
    <w:rsid w:val="00822D41"/>
    <w:rsid w:val="00822F05"/>
    <w:rsid w:val="0082489A"/>
    <w:rsid w:val="00824EA2"/>
    <w:rsid w:val="008256CA"/>
    <w:rsid w:val="00826506"/>
    <w:rsid w:val="00826E8C"/>
    <w:rsid w:val="00833444"/>
    <w:rsid w:val="00833585"/>
    <w:rsid w:val="0083508C"/>
    <w:rsid w:val="00843881"/>
    <w:rsid w:val="00846E58"/>
    <w:rsid w:val="00850814"/>
    <w:rsid w:val="00852BCC"/>
    <w:rsid w:val="00853978"/>
    <w:rsid w:val="00854012"/>
    <w:rsid w:val="0085543C"/>
    <w:rsid w:val="0085563A"/>
    <w:rsid w:val="00855646"/>
    <w:rsid w:val="0085568A"/>
    <w:rsid w:val="00855A5F"/>
    <w:rsid w:val="00855CB5"/>
    <w:rsid w:val="00856367"/>
    <w:rsid w:val="008574E3"/>
    <w:rsid w:val="00860323"/>
    <w:rsid w:val="00862A6A"/>
    <w:rsid w:val="00863758"/>
    <w:rsid w:val="008640F4"/>
    <w:rsid w:val="00864D6F"/>
    <w:rsid w:val="008650C1"/>
    <w:rsid w:val="0086525C"/>
    <w:rsid w:val="00865A24"/>
    <w:rsid w:val="00871613"/>
    <w:rsid w:val="0087383B"/>
    <w:rsid w:val="008803B3"/>
    <w:rsid w:val="00881ED2"/>
    <w:rsid w:val="00886D2B"/>
    <w:rsid w:val="008906C6"/>
    <w:rsid w:val="00892677"/>
    <w:rsid w:val="00893F1C"/>
    <w:rsid w:val="00895BF0"/>
    <w:rsid w:val="00895F19"/>
    <w:rsid w:val="008A38A6"/>
    <w:rsid w:val="008A602D"/>
    <w:rsid w:val="008A6B32"/>
    <w:rsid w:val="008A743D"/>
    <w:rsid w:val="008A77F9"/>
    <w:rsid w:val="008B04A0"/>
    <w:rsid w:val="008B0EB4"/>
    <w:rsid w:val="008B14B1"/>
    <w:rsid w:val="008B42B5"/>
    <w:rsid w:val="008B6866"/>
    <w:rsid w:val="008B6A5B"/>
    <w:rsid w:val="008B6D63"/>
    <w:rsid w:val="008B7404"/>
    <w:rsid w:val="008C0433"/>
    <w:rsid w:val="008C0500"/>
    <w:rsid w:val="008C1B54"/>
    <w:rsid w:val="008D082D"/>
    <w:rsid w:val="008D7030"/>
    <w:rsid w:val="008E0995"/>
    <w:rsid w:val="008E1FAD"/>
    <w:rsid w:val="008E2326"/>
    <w:rsid w:val="008E523C"/>
    <w:rsid w:val="008E5FBE"/>
    <w:rsid w:val="008E7191"/>
    <w:rsid w:val="008E7317"/>
    <w:rsid w:val="008E7747"/>
    <w:rsid w:val="008E79BB"/>
    <w:rsid w:val="008F21F0"/>
    <w:rsid w:val="008F3221"/>
    <w:rsid w:val="008F33A7"/>
    <w:rsid w:val="009008B1"/>
    <w:rsid w:val="00901782"/>
    <w:rsid w:val="00902536"/>
    <w:rsid w:val="00902EB2"/>
    <w:rsid w:val="00903C37"/>
    <w:rsid w:val="0090709D"/>
    <w:rsid w:val="0090741E"/>
    <w:rsid w:val="00910929"/>
    <w:rsid w:val="00910AE3"/>
    <w:rsid w:val="009121BD"/>
    <w:rsid w:val="0091520F"/>
    <w:rsid w:val="009152FD"/>
    <w:rsid w:val="0091561A"/>
    <w:rsid w:val="00916843"/>
    <w:rsid w:val="00920BCF"/>
    <w:rsid w:val="00920FFC"/>
    <w:rsid w:val="00921A6F"/>
    <w:rsid w:val="00922AAE"/>
    <w:rsid w:val="00925D10"/>
    <w:rsid w:val="00932450"/>
    <w:rsid w:val="00933CDC"/>
    <w:rsid w:val="00935242"/>
    <w:rsid w:val="0093636E"/>
    <w:rsid w:val="009363A2"/>
    <w:rsid w:val="0094137D"/>
    <w:rsid w:val="00942CCD"/>
    <w:rsid w:val="0094396C"/>
    <w:rsid w:val="00944728"/>
    <w:rsid w:val="00950A0E"/>
    <w:rsid w:val="009513D6"/>
    <w:rsid w:val="0095196A"/>
    <w:rsid w:val="00953862"/>
    <w:rsid w:val="0095676A"/>
    <w:rsid w:val="0096070A"/>
    <w:rsid w:val="00961D26"/>
    <w:rsid w:val="00962B74"/>
    <w:rsid w:val="00963862"/>
    <w:rsid w:val="009645A2"/>
    <w:rsid w:val="0096465D"/>
    <w:rsid w:val="00972102"/>
    <w:rsid w:val="00972CA3"/>
    <w:rsid w:val="0097381D"/>
    <w:rsid w:val="00974234"/>
    <w:rsid w:val="00974A98"/>
    <w:rsid w:val="009755E0"/>
    <w:rsid w:val="00976B4E"/>
    <w:rsid w:val="009777A7"/>
    <w:rsid w:val="0098062C"/>
    <w:rsid w:val="00983C71"/>
    <w:rsid w:val="00983CD4"/>
    <w:rsid w:val="00990754"/>
    <w:rsid w:val="00990791"/>
    <w:rsid w:val="00991588"/>
    <w:rsid w:val="009917F6"/>
    <w:rsid w:val="009921A9"/>
    <w:rsid w:val="009924F2"/>
    <w:rsid w:val="00994D73"/>
    <w:rsid w:val="009A23B1"/>
    <w:rsid w:val="009A3873"/>
    <w:rsid w:val="009B0F3B"/>
    <w:rsid w:val="009B1529"/>
    <w:rsid w:val="009B2EC2"/>
    <w:rsid w:val="009B3F1B"/>
    <w:rsid w:val="009B7B70"/>
    <w:rsid w:val="009C0DB6"/>
    <w:rsid w:val="009C2090"/>
    <w:rsid w:val="009C2906"/>
    <w:rsid w:val="009C2B0B"/>
    <w:rsid w:val="009D7441"/>
    <w:rsid w:val="009E0EFF"/>
    <w:rsid w:val="009E2755"/>
    <w:rsid w:val="009E4F9C"/>
    <w:rsid w:val="009E6931"/>
    <w:rsid w:val="009E70A8"/>
    <w:rsid w:val="009E783E"/>
    <w:rsid w:val="009F0DC7"/>
    <w:rsid w:val="009F1AF4"/>
    <w:rsid w:val="009F2C46"/>
    <w:rsid w:val="009F35E6"/>
    <w:rsid w:val="009F3F52"/>
    <w:rsid w:val="009F6B30"/>
    <w:rsid w:val="00A0730D"/>
    <w:rsid w:val="00A07A7C"/>
    <w:rsid w:val="00A10E2C"/>
    <w:rsid w:val="00A16768"/>
    <w:rsid w:val="00A17EB3"/>
    <w:rsid w:val="00A215DE"/>
    <w:rsid w:val="00A26A67"/>
    <w:rsid w:val="00A26FCE"/>
    <w:rsid w:val="00A30543"/>
    <w:rsid w:val="00A31EB3"/>
    <w:rsid w:val="00A32694"/>
    <w:rsid w:val="00A32CD8"/>
    <w:rsid w:val="00A379AE"/>
    <w:rsid w:val="00A37B9D"/>
    <w:rsid w:val="00A42FA6"/>
    <w:rsid w:val="00A43718"/>
    <w:rsid w:val="00A444C0"/>
    <w:rsid w:val="00A4475C"/>
    <w:rsid w:val="00A44EE1"/>
    <w:rsid w:val="00A4634C"/>
    <w:rsid w:val="00A46546"/>
    <w:rsid w:val="00A466AE"/>
    <w:rsid w:val="00A4706F"/>
    <w:rsid w:val="00A476A4"/>
    <w:rsid w:val="00A47DCB"/>
    <w:rsid w:val="00A47F4A"/>
    <w:rsid w:val="00A50F93"/>
    <w:rsid w:val="00A51C18"/>
    <w:rsid w:val="00A51FFD"/>
    <w:rsid w:val="00A5234D"/>
    <w:rsid w:val="00A527B9"/>
    <w:rsid w:val="00A5378A"/>
    <w:rsid w:val="00A53AB4"/>
    <w:rsid w:val="00A54A5D"/>
    <w:rsid w:val="00A55CA7"/>
    <w:rsid w:val="00A620B0"/>
    <w:rsid w:val="00A63824"/>
    <w:rsid w:val="00A6419E"/>
    <w:rsid w:val="00A66D58"/>
    <w:rsid w:val="00A673B5"/>
    <w:rsid w:val="00A72A89"/>
    <w:rsid w:val="00A74158"/>
    <w:rsid w:val="00A74A25"/>
    <w:rsid w:val="00A77758"/>
    <w:rsid w:val="00A81FE1"/>
    <w:rsid w:val="00A82591"/>
    <w:rsid w:val="00A8275F"/>
    <w:rsid w:val="00A828AA"/>
    <w:rsid w:val="00A86037"/>
    <w:rsid w:val="00A908DC"/>
    <w:rsid w:val="00A923FC"/>
    <w:rsid w:val="00A925C6"/>
    <w:rsid w:val="00A9352C"/>
    <w:rsid w:val="00A939F2"/>
    <w:rsid w:val="00A9450E"/>
    <w:rsid w:val="00A9704E"/>
    <w:rsid w:val="00AA2D0B"/>
    <w:rsid w:val="00AA3DA8"/>
    <w:rsid w:val="00AA4EB8"/>
    <w:rsid w:val="00AA4EE1"/>
    <w:rsid w:val="00AA5A8A"/>
    <w:rsid w:val="00AA63A6"/>
    <w:rsid w:val="00AB0257"/>
    <w:rsid w:val="00AB3973"/>
    <w:rsid w:val="00AB4768"/>
    <w:rsid w:val="00AB7B9A"/>
    <w:rsid w:val="00AC09CB"/>
    <w:rsid w:val="00AC3DD7"/>
    <w:rsid w:val="00AC63E2"/>
    <w:rsid w:val="00AC6847"/>
    <w:rsid w:val="00AC7D4F"/>
    <w:rsid w:val="00AD0525"/>
    <w:rsid w:val="00AD07A0"/>
    <w:rsid w:val="00AD3296"/>
    <w:rsid w:val="00AD747F"/>
    <w:rsid w:val="00AE2879"/>
    <w:rsid w:val="00AE34F6"/>
    <w:rsid w:val="00AE6F40"/>
    <w:rsid w:val="00AE785D"/>
    <w:rsid w:val="00AF186B"/>
    <w:rsid w:val="00AF5E95"/>
    <w:rsid w:val="00AF6126"/>
    <w:rsid w:val="00AF72B7"/>
    <w:rsid w:val="00B00115"/>
    <w:rsid w:val="00B02411"/>
    <w:rsid w:val="00B02D44"/>
    <w:rsid w:val="00B0558E"/>
    <w:rsid w:val="00B05C5D"/>
    <w:rsid w:val="00B06EEC"/>
    <w:rsid w:val="00B154C1"/>
    <w:rsid w:val="00B16B10"/>
    <w:rsid w:val="00B205B8"/>
    <w:rsid w:val="00B22398"/>
    <w:rsid w:val="00B232E8"/>
    <w:rsid w:val="00B2423E"/>
    <w:rsid w:val="00B253A1"/>
    <w:rsid w:val="00B3303A"/>
    <w:rsid w:val="00B33715"/>
    <w:rsid w:val="00B3437E"/>
    <w:rsid w:val="00B34ABA"/>
    <w:rsid w:val="00B42F18"/>
    <w:rsid w:val="00B438DD"/>
    <w:rsid w:val="00B439E2"/>
    <w:rsid w:val="00B457B0"/>
    <w:rsid w:val="00B45AD3"/>
    <w:rsid w:val="00B47A99"/>
    <w:rsid w:val="00B47DB0"/>
    <w:rsid w:val="00B51653"/>
    <w:rsid w:val="00B51E91"/>
    <w:rsid w:val="00B5200D"/>
    <w:rsid w:val="00B531DF"/>
    <w:rsid w:val="00B53D20"/>
    <w:rsid w:val="00B562BF"/>
    <w:rsid w:val="00B565E9"/>
    <w:rsid w:val="00B5673B"/>
    <w:rsid w:val="00B56D0C"/>
    <w:rsid w:val="00B57459"/>
    <w:rsid w:val="00B62231"/>
    <w:rsid w:val="00B63E10"/>
    <w:rsid w:val="00B64533"/>
    <w:rsid w:val="00B64613"/>
    <w:rsid w:val="00B65E0D"/>
    <w:rsid w:val="00B676B1"/>
    <w:rsid w:val="00B67FE6"/>
    <w:rsid w:val="00B709D8"/>
    <w:rsid w:val="00B719A5"/>
    <w:rsid w:val="00B71FE1"/>
    <w:rsid w:val="00B7202E"/>
    <w:rsid w:val="00B75468"/>
    <w:rsid w:val="00B847E9"/>
    <w:rsid w:val="00B866EC"/>
    <w:rsid w:val="00B905F5"/>
    <w:rsid w:val="00B94893"/>
    <w:rsid w:val="00B97D22"/>
    <w:rsid w:val="00BA05E3"/>
    <w:rsid w:val="00BA0A2D"/>
    <w:rsid w:val="00BA2DB9"/>
    <w:rsid w:val="00BA359A"/>
    <w:rsid w:val="00BA399E"/>
    <w:rsid w:val="00BA40BA"/>
    <w:rsid w:val="00BA4E76"/>
    <w:rsid w:val="00BA5478"/>
    <w:rsid w:val="00BA5F2F"/>
    <w:rsid w:val="00BB2DB4"/>
    <w:rsid w:val="00BB4856"/>
    <w:rsid w:val="00BB53DC"/>
    <w:rsid w:val="00BB663F"/>
    <w:rsid w:val="00BB6A13"/>
    <w:rsid w:val="00BC0114"/>
    <w:rsid w:val="00BC12E5"/>
    <w:rsid w:val="00BC1E28"/>
    <w:rsid w:val="00BC206D"/>
    <w:rsid w:val="00BC314B"/>
    <w:rsid w:val="00BC39D8"/>
    <w:rsid w:val="00BC5218"/>
    <w:rsid w:val="00BC56E9"/>
    <w:rsid w:val="00BC5DC6"/>
    <w:rsid w:val="00BD07A9"/>
    <w:rsid w:val="00BD1EAB"/>
    <w:rsid w:val="00BD297A"/>
    <w:rsid w:val="00BD6118"/>
    <w:rsid w:val="00BD70F6"/>
    <w:rsid w:val="00BD7D3E"/>
    <w:rsid w:val="00BE1BC0"/>
    <w:rsid w:val="00BE4513"/>
    <w:rsid w:val="00BE4B67"/>
    <w:rsid w:val="00BE64CC"/>
    <w:rsid w:val="00BE6BC5"/>
    <w:rsid w:val="00BF0052"/>
    <w:rsid w:val="00BF00D5"/>
    <w:rsid w:val="00BF08B7"/>
    <w:rsid w:val="00BF192A"/>
    <w:rsid w:val="00BF2612"/>
    <w:rsid w:val="00BF324A"/>
    <w:rsid w:val="00BF3473"/>
    <w:rsid w:val="00BF4999"/>
    <w:rsid w:val="00BF66E1"/>
    <w:rsid w:val="00C0447A"/>
    <w:rsid w:val="00C048A4"/>
    <w:rsid w:val="00C07358"/>
    <w:rsid w:val="00C1010B"/>
    <w:rsid w:val="00C12336"/>
    <w:rsid w:val="00C12727"/>
    <w:rsid w:val="00C141D0"/>
    <w:rsid w:val="00C144F0"/>
    <w:rsid w:val="00C15D15"/>
    <w:rsid w:val="00C1662B"/>
    <w:rsid w:val="00C16E43"/>
    <w:rsid w:val="00C2003C"/>
    <w:rsid w:val="00C22D12"/>
    <w:rsid w:val="00C24471"/>
    <w:rsid w:val="00C245EE"/>
    <w:rsid w:val="00C25A93"/>
    <w:rsid w:val="00C25F90"/>
    <w:rsid w:val="00C26BF0"/>
    <w:rsid w:val="00C31175"/>
    <w:rsid w:val="00C31C9B"/>
    <w:rsid w:val="00C3247A"/>
    <w:rsid w:val="00C33047"/>
    <w:rsid w:val="00C33FA2"/>
    <w:rsid w:val="00C34842"/>
    <w:rsid w:val="00C371E8"/>
    <w:rsid w:val="00C37F2B"/>
    <w:rsid w:val="00C413A5"/>
    <w:rsid w:val="00C45951"/>
    <w:rsid w:val="00C478C2"/>
    <w:rsid w:val="00C50611"/>
    <w:rsid w:val="00C53B46"/>
    <w:rsid w:val="00C53DE1"/>
    <w:rsid w:val="00C5445E"/>
    <w:rsid w:val="00C55319"/>
    <w:rsid w:val="00C55FFC"/>
    <w:rsid w:val="00C57726"/>
    <w:rsid w:val="00C60F56"/>
    <w:rsid w:val="00C64563"/>
    <w:rsid w:val="00C664CB"/>
    <w:rsid w:val="00C70808"/>
    <w:rsid w:val="00C708D1"/>
    <w:rsid w:val="00C7188B"/>
    <w:rsid w:val="00C72F3D"/>
    <w:rsid w:val="00C74E24"/>
    <w:rsid w:val="00C7642B"/>
    <w:rsid w:val="00C77E53"/>
    <w:rsid w:val="00C80F69"/>
    <w:rsid w:val="00C839A4"/>
    <w:rsid w:val="00C845C7"/>
    <w:rsid w:val="00C866A0"/>
    <w:rsid w:val="00C9130A"/>
    <w:rsid w:val="00C91FDD"/>
    <w:rsid w:val="00C9251E"/>
    <w:rsid w:val="00C92572"/>
    <w:rsid w:val="00C9279B"/>
    <w:rsid w:val="00C92CF6"/>
    <w:rsid w:val="00C97507"/>
    <w:rsid w:val="00CA2993"/>
    <w:rsid w:val="00CA5317"/>
    <w:rsid w:val="00CA65A5"/>
    <w:rsid w:val="00CB074E"/>
    <w:rsid w:val="00CB0C4F"/>
    <w:rsid w:val="00CB3EE8"/>
    <w:rsid w:val="00CB4058"/>
    <w:rsid w:val="00CB5494"/>
    <w:rsid w:val="00CB709A"/>
    <w:rsid w:val="00CB72D7"/>
    <w:rsid w:val="00CC1A9F"/>
    <w:rsid w:val="00CC227E"/>
    <w:rsid w:val="00CC2C5F"/>
    <w:rsid w:val="00CC40FC"/>
    <w:rsid w:val="00CC4581"/>
    <w:rsid w:val="00CC4664"/>
    <w:rsid w:val="00CC4C58"/>
    <w:rsid w:val="00CC55CC"/>
    <w:rsid w:val="00CC57F2"/>
    <w:rsid w:val="00CC6761"/>
    <w:rsid w:val="00CC7558"/>
    <w:rsid w:val="00CC7DAD"/>
    <w:rsid w:val="00CD1667"/>
    <w:rsid w:val="00CD3C38"/>
    <w:rsid w:val="00CD3EFC"/>
    <w:rsid w:val="00CD4614"/>
    <w:rsid w:val="00CD696C"/>
    <w:rsid w:val="00CD6A65"/>
    <w:rsid w:val="00CE3C14"/>
    <w:rsid w:val="00CF02E1"/>
    <w:rsid w:val="00CF1460"/>
    <w:rsid w:val="00CF1733"/>
    <w:rsid w:val="00CF306D"/>
    <w:rsid w:val="00CF42EA"/>
    <w:rsid w:val="00CF5B58"/>
    <w:rsid w:val="00D00375"/>
    <w:rsid w:val="00D00448"/>
    <w:rsid w:val="00D03E47"/>
    <w:rsid w:val="00D04CDD"/>
    <w:rsid w:val="00D05E71"/>
    <w:rsid w:val="00D123E0"/>
    <w:rsid w:val="00D12D6E"/>
    <w:rsid w:val="00D140E4"/>
    <w:rsid w:val="00D15AAC"/>
    <w:rsid w:val="00D16BEA"/>
    <w:rsid w:val="00D204A9"/>
    <w:rsid w:val="00D21745"/>
    <w:rsid w:val="00D21E6E"/>
    <w:rsid w:val="00D22741"/>
    <w:rsid w:val="00D22EAF"/>
    <w:rsid w:val="00D23816"/>
    <w:rsid w:val="00D23BB5"/>
    <w:rsid w:val="00D24DB2"/>
    <w:rsid w:val="00D25711"/>
    <w:rsid w:val="00D304B4"/>
    <w:rsid w:val="00D31559"/>
    <w:rsid w:val="00D315F9"/>
    <w:rsid w:val="00D338BA"/>
    <w:rsid w:val="00D34821"/>
    <w:rsid w:val="00D371A0"/>
    <w:rsid w:val="00D37B99"/>
    <w:rsid w:val="00D40E32"/>
    <w:rsid w:val="00D41EEE"/>
    <w:rsid w:val="00D440B4"/>
    <w:rsid w:val="00D44B77"/>
    <w:rsid w:val="00D465F1"/>
    <w:rsid w:val="00D46B65"/>
    <w:rsid w:val="00D52CE7"/>
    <w:rsid w:val="00D53262"/>
    <w:rsid w:val="00D53927"/>
    <w:rsid w:val="00D574FE"/>
    <w:rsid w:val="00D6199C"/>
    <w:rsid w:val="00D64E5C"/>
    <w:rsid w:val="00D7238C"/>
    <w:rsid w:val="00D726A4"/>
    <w:rsid w:val="00D74191"/>
    <w:rsid w:val="00D75DDC"/>
    <w:rsid w:val="00D77751"/>
    <w:rsid w:val="00D77C63"/>
    <w:rsid w:val="00D81224"/>
    <w:rsid w:val="00D84CA9"/>
    <w:rsid w:val="00D8543D"/>
    <w:rsid w:val="00D85DF0"/>
    <w:rsid w:val="00D86C7A"/>
    <w:rsid w:val="00D90222"/>
    <w:rsid w:val="00D91856"/>
    <w:rsid w:val="00DA08DB"/>
    <w:rsid w:val="00DA2FF7"/>
    <w:rsid w:val="00DA596A"/>
    <w:rsid w:val="00DA73B9"/>
    <w:rsid w:val="00DB1162"/>
    <w:rsid w:val="00DB1FA9"/>
    <w:rsid w:val="00DB459B"/>
    <w:rsid w:val="00DB4E50"/>
    <w:rsid w:val="00DB6665"/>
    <w:rsid w:val="00DC1E0A"/>
    <w:rsid w:val="00DC3429"/>
    <w:rsid w:val="00DC48F3"/>
    <w:rsid w:val="00DC7AFE"/>
    <w:rsid w:val="00DD0451"/>
    <w:rsid w:val="00DD2101"/>
    <w:rsid w:val="00DD2476"/>
    <w:rsid w:val="00DD2CC6"/>
    <w:rsid w:val="00DD3740"/>
    <w:rsid w:val="00DD39A6"/>
    <w:rsid w:val="00DD43AD"/>
    <w:rsid w:val="00DD7A42"/>
    <w:rsid w:val="00DE0889"/>
    <w:rsid w:val="00DE1EC8"/>
    <w:rsid w:val="00DE2BD0"/>
    <w:rsid w:val="00DF2C4F"/>
    <w:rsid w:val="00DF66EF"/>
    <w:rsid w:val="00E00979"/>
    <w:rsid w:val="00E02724"/>
    <w:rsid w:val="00E02FFC"/>
    <w:rsid w:val="00E04B23"/>
    <w:rsid w:val="00E04B62"/>
    <w:rsid w:val="00E07965"/>
    <w:rsid w:val="00E110DF"/>
    <w:rsid w:val="00E13AAD"/>
    <w:rsid w:val="00E13DCF"/>
    <w:rsid w:val="00E15FD1"/>
    <w:rsid w:val="00E16733"/>
    <w:rsid w:val="00E177E6"/>
    <w:rsid w:val="00E17C81"/>
    <w:rsid w:val="00E17E97"/>
    <w:rsid w:val="00E2083A"/>
    <w:rsid w:val="00E20E5B"/>
    <w:rsid w:val="00E21E8A"/>
    <w:rsid w:val="00E23731"/>
    <w:rsid w:val="00E26757"/>
    <w:rsid w:val="00E270C4"/>
    <w:rsid w:val="00E270E1"/>
    <w:rsid w:val="00E27C6D"/>
    <w:rsid w:val="00E27E1D"/>
    <w:rsid w:val="00E315A1"/>
    <w:rsid w:val="00E31F3F"/>
    <w:rsid w:val="00E331E8"/>
    <w:rsid w:val="00E34E4C"/>
    <w:rsid w:val="00E356E9"/>
    <w:rsid w:val="00E37845"/>
    <w:rsid w:val="00E418CE"/>
    <w:rsid w:val="00E43364"/>
    <w:rsid w:val="00E43913"/>
    <w:rsid w:val="00E45B3A"/>
    <w:rsid w:val="00E52213"/>
    <w:rsid w:val="00E5354C"/>
    <w:rsid w:val="00E57024"/>
    <w:rsid w:val="00E57F78"/>
    <w:rsid w:val="00E61546"/>
    <w:rsid w:val="00E624A8"/>
    <w:rsid w:val="00E63495"/>
    <w:rsid w:val="00E63CEF"/>
    <w:rsid w:val="00E66401"/>
    <w:rsid w:val="00E66E69"/>
    <w:rsid w:val="00E679A7"/>
    <w:rsid w:val="00E70610"/>
    <w:rsid w:val="00E70C30"/>
    <w:rsid w:val="00E720E8"/>
    <w:rsid w:val="00E73739"/>
    <w:rsid w:val="00E747AE"/>
    <w:rsid w:val="00E75101"/>
    <w:rsid w:val="00E759E3"/>
    <w:rsid w:val="00E80423"/>
    <w:rsid w:val="00E80673"/>
    <w:rsid w:val="00E8370D"/>
    <w:rsid w:val="00E86DBE"/>
    <w:rsid w:val="00E86E69"/>
    <w:rsid w:val="00E914A3"/>
    <w:rsid w:val="00E91FD1"/>
    <w:rsid w:val="00E941EE"/>
    <w:rsid w:val="00E9518C"/>
    <w:rsid w:val="00E960D1"/>
    <w:rsid w:val="00E97AAC"/>
    <w:rsid w:val="00EA13C0"/>
    <w:rsid w:val="00EA3846"/>
    <w:rsid w:val="00EA470C"/>
    <w:rsid w:val="00EA5623"/>
    <w:rsid w:val="00EA5974"/>
    <w:rsid w:val="00EA75B3"/>
    <w:rsid w:val="00EA7E2E"/>
    <w:rsid w:val="00EB070D"/>
    <w:rsid w:val="00EB0B1C"/>
    <w:rsid w:val="00EB129D"/>
    <w:rsid w:val="00EB4198"/>
    <w:rsid w:val="00EB7145"/>
    <w:rsid w:val="00EC1192"/>
    <w:rsid w:val="00EC54D3"/>
    <w:rsid w:val="00ED0A27"/>
    <w:rsid w:val="00ED0BA7"/>
    <w:rsid w:val="00ED3872"/>
    <w:rsid w:val="00ED3976"/>
    <w:rsid w:val="00ED3E57"/>
    <w:rsid w:val="00ED4955"/>
    <w:rsid w:val="00ED58F0"/>
    <w:rsid w:val="00ED5BE7"/>
    <w:rsid w:val="00ED62DE"/>
    <w:rsid w:val="00ED6D63"/>
    <w:rsid w:val="00ED774D"/>
    <w:rsid w:val="00EE0896"/>
    <w:rsid w:val="00EE1DE6"/>
    <w:rsid w:val="00EE2068"/>
    <w:rsid w:val="00EE21BF"/>
    <w:rsid w:val="00EE3079"/>
    <w:rsid w:val="00EE788C"/>
    <w:rsid w:val="00EF287E"/>
    <w:rsid w:val="00EF3E75"/>
    <w:rsid w:val="00EF4A8E"/>
    <w:rsid w:val="00EF5378"/>
    <w:rsid w:val="00F006C8"/>
    <w:rsid w:val="00F01BE0"/>
    <w:rsid w:val="00F04482"/>
    <w:rsid w:val="00F04744"/>
    <w:rsid w:val="00F05996"/>
    <w:rsid w:val="00F07060"/>
    <w:rsid w:val="00F07CCF"/>
    <w:rsid w:val="00F11220"/>
    <w:rsid w:val="00F13E29"/>
    <w:rsid w:val="00F145EC"/>
    <w:rsid w:val="00F14645"/>
    <w:rsid w:val="00F20258"/>
    <w:rsid w:val="00F205E5"/>
    <w:rsid w:val="00F23ABB"/>
    <w:rsid w:val="00F24AEF"/>
    <w:rsid w:val="00F259D2"/>
    <w:rsid w:val="00F346FC"/>
    <w:rsid w:val="00F348C5"/>
    <w:rsid w:val="00F34F89"/>
    <w:rsid w:val="00F353F9"/>
    <w:rsid w:val="00F35766"/>
    <w:rsid w:val="00F37B69"/>
    <w:rsid w:val="00F37B7B"/>
    <w:rsid w:val="00F41A36"/>
    <w:rsid w:val="00F44C31"/>
    <w:rsid w:val="00F52A0F"/>
    <w:rsid w:val="00F52B0C"/>
    <w:rsid w:val="00F531A7"/>
    <w:rsid w:val="00F53A5A"/>
    <w:rsid w:val="00F560B4"/>
    <w:rsid w:val="00F561E5"/>
    <w:rsid w:val="00F57F48"/>
    <w:rsid w:val="00F6242E"/>
    <w:rsid w:val="00F663FF"/>
    <w:rsid w:val="00F666B2"/>
    <w:rsid w:val="00F67242"/>
    <w:rsid w:val="00F72860"/>
    <w:rsid w:val="00F74553"/>
    <w:rsid w:val="00F754AD"/>
    <w:rsid w:val="00F77925"/>
    <w:rsid w:val="00F80C87"/>
    <w:rsid w:val="00F80C9D"/>
    <w:rsid w:val="00F81228"/>
    <w:rsid w:val="00F81882"/>
    <w:rsid w:val="00F824C3"/>
    <w:rsid w:val="00F84C3E"/>
    <w:rsid w:val="00F87CDD"/>
    <w:rsid w:val="00F9001D"/>
    <w:rsid w:val="00F911AD"/>
    <w:rsid w:val="00F931A8"/>
    <w:rsid w:val="00F938AF"/>
    <w:rsid w:val="00F946BB"/>
    <w:rsid w:val="00FA1E28"/>
    <w:rsid w:val="00FA2A09"/>
    <w:rsid w:val="00FA3032"/>
    <w:rsid w:val="00FA4455"/>
    <w:rsid w:val="00FA588C"/>
    <w:rsid w:val="00FA5D3D"/>
    <w:rsid w:val="00FA63A7"/>
    <w:rsid w:val="00FB239D"/>
    <w:rsid w:val="00FB49D8"/>
    <w:rsid w:val="00FB4CB4"/>
    <w:rsid w:val="00FB7A80"/>
    <w:rsid w:val="00FC02C2"/>
    <w:rsid w:val="00FC3DBE"/>
    <w:rsid w:val="00FC53AA"/>
    <w:rsid w:val="00FC647D"/>
    <w:rsid w:val="00FD3811"/>
    <w:rsid w:val="00FD6881"/>
    <w:rsid w:val="00FE3B19"/>
    <w:rsid w:val="00FE3FF9"/>
    <w:rsid w:val="00FE4E72"/>
    <w:rsid w:val="00FE682F"/>
    <w:rsid w:val="00FE74B3"/>
    <w:rsid w:val="00FE74FE"/>
    <w:rsid w:val="00FE7B62"/>
    <w:rsid w:val="00FF0391"/>
    <w:rsid w:val="00FF26E1"/>
    <w:rsid w:val="00FF302F"/>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E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index heading" w:uiPriority="0"/>
    <w:lsdException w:name="caption" w:uiPriority="35" w:qFormat="1"/>
    <w:lsdException w:name="footnote reference" w:qFormat="1"/>
    <w:lsdException w:name="page number" w:uiPriority="0"/>
    <w:lsdException w:name="toa heading" w:uiPriority="0"/>
    <w:lsdException w:name="List Bullet" w:uiPriority="0"/>
    <w:lsdException w:name="List Bullet 2" w:uiPriority="0"/>
    <w:lsdException w:name="List Bullet 3" w:uiPriority="0"/>
    <w:lsdException w:name="Title" w:semiHidden="0" w:uiPriority="10" w:unhideWhenUsed="0"/>
    <w:lsdException w:name="Signature" w:uiPriority="0"/>
    <w:lsdException w:name="Default Paragraph Font" w:uiPriority="1"/>
    <w:lsdException w:name="Body Text" w:uiPriority="1"/>
    <w:lsdException w:name="Body Text Indent" w:uiPriority="0"/>
    <w:lsdException w:name="Subtitle" w:semiHidden="0" w:uiPriority="11" w:unhideWhenUsed="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Cite"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27C6D"/>
    <w:pPr>
      <w:spacing w:before="60" w:after="180" w:line="288" w:lineRule="auto"/>
    </w:pPr>
    <w:rPr>
      <w:rFonts w:ascii="Arial" w:eastAsia="Calibri" w:hAnsi="Arial" w:cs="Arial"/>
      <w:sz w:val="20"/>
      <w:szCs w:val="20"/>
    </w:rPr>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Pro,heading 1"/>
    <w:basedOn w:val="Normal"/>
    <w:next w:val="Normal"/>
    <w:link w:val="Heading1Char1"/>
    <w:autoRedefine/>
    <w:qFormat/>
    <w:rsid w:val="00BD70F6"/>
    <w:pPr>
      <w:keepNext/>
      <w:keepLines/>
      <w:pageBreakBefore/>
      <w:widowControl/>
      <w:numPr>
        <w:numId w:val="3"/>
      </w:numPr>
      <w:tabs>
        <w:tab w:val="clear" w:pos="720"/>
        <w:tab w:val="num" w:pos="567"/>
      </w:tabs>
      <w:spacing w:before="0" w:after="240" w:line="240" w:lineRule="atLeast"/>
      <w:ind w:left="567" w:hanging="567"/>
      <w:outlineLvl w:val="0"/>
    </w:pPr>
    <w:rPr>
      <w:rFonts w:eastAsiaTheme="majorEastAsia" w:cstheme="majorBidi"/>
      <w:bCs/>
      <w:caps/>
      <w:color w:val="3F9C35"/>
      <w:sz w:val="40"/>
      <w:szCs w:val="28"/>
      <w:lang w:val="en-GB"/>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1"/>
    <w:qFormat/>
    <w:rsid w:val="00BD70F6"/>
    <w:pPr>
      <w:keepNext/>
      <w:widowControl/>
      <w:numPr>
        <w:ilvl w:val="1"/>
        <w:numId w:val="3"/>
      </w:numPr>
      <w:tabs>
        <w:tab w:val="clear" w:pos="3349"/>
        <w:tab w:val="num" w:pos="567"/>
      </w:tabs>
      <w:spacing w:before="240" w:after="240"/>
      <w:ind w:left="567" w:hanging="567"/>
      <w:outlineLvl w:val="1"/>
    </w:pPr>
    <w:rPr>
      <w:rFonts w:eastAsia="Times New Roman"/>
      <w:bCs/>
      <w:iCs/>
      <w:color w:val="63666A"/>
      <w:sz w:val="28"/>
      <w:szCs w:val="28"/>
      <w:lang w:val="en-GB" w:eastAsia="en-GB"/>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List - 1,2,1"/>
    <w:basedOn w:val="Normal"/>
    <w:next w:val="Normal"/>
    <w:link w:val="Heading3Char"/>
    <w:autoRedefine/>
    <w:qFormat/>
    <w:rsid w:val="00D465F1"/>
    <w:pPr>
      <w:keepNext/>
      <w:widowControl/>
      <w:numPr>
        <w:ilvl w:val="2"/>
        <w:numId w:val="1"/>
      </w:numPr>
      <w:spacing w:before="240" w:after="240"/>
      <w:ind w:left="567" w:hanging="567"/>
      <w:outlineLvl w:val="2"/>
    </w:pPr>
    <w:rPr>
      <w:rFonts w:eastAsia="Times New Roman"/>
      <w:b/>
      <w:bCs/>
      <w:color w:val="009CDE"/>
      <w:sz w:val="24"/>
      <w:lang w:val="en-GB" w:eastAsia="en-GB"/>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PAR"/>
    <w:basedOn w:val="Normal"/>
    <w:next w:val="Normal"/>
    <w:link w:val="Heading4Char"/>
    <w:autoRedefine/>
    <w:qFormat/>
    <w:rsid w:val="00D24DB2"/>
    <w:pPr>
      <w:keepNext/>
      <w:widowControl/>
      <w:numPr>
        <w:ilvl w:val="3"/>
        <w:numId w:val="3"/>
      </w:numPr>
      <w:spacing w:before="240" w:after="240"/>
      <w:ind w:left="851" w:hanging="851"/>
      <w:outlineLvl w:val="3"/>
    </w:pPr>
    <w:rPr>
      <w:rFonts w:eastAsia="Times New Roman"/>
      <w:b/>
      <w:bCs/>
      <w:sz w:val="22"/>
      <w:lang w:val="en-GB" w:eastAsia="en-GB"/>
    </w:rPr>
  </w:style>
  <w:style w:type="paragraph" w:styleId="Heading5">
    <w:name w:val="heading 5"/>
    <w:aliases w:val="Roman list,Appendix A to X,Heading 5   Appendix A to X,Block Label,h5,Heading5,5 sub-bullet,sb,H5-Heading 5,l5,heading5,heading 5,tcs,tablecaps,hd5,i) ii) iii),Heading 5(unused),H5,Para5,Schedule A to X,Heading 5-1,sub-bullet,H5-Heading 5&#10;"/>
    <w:basedOn w:val="Normal"/>
    <w:next w:val="Normal"/>
    <w:link w:val="Heading5Char"/>
    <w:rsid w:val="00E27C6D"/>
    <w:pPr>
      <w:keepNext/>
      <w:widowControl/>
      <w:tabs>
        <w:tab w:val="left" w:pos="480"/>
        <w:tab w:val="left" w:pos="960"/>
      </w:tabs>
      <w:spacing w:before="0" w:after="0" w:line="360" w:lineRule="auto"/>
      <w:ind w:left="1008" w:hanging="1008"/>
      <w:jc w:val="both"/>
      <w:outlineLvl w:val="4"/>
    </w:pPr>
    <w:rPr>
      <w:rFonts w:ascii="Univers" w:eastAsia="Times New Roman" w:hAnsi="Univers" w:cs="Times New Roman"/>
      <w:b/>
      <w:bCs/>
      <w:szCs w:val="24"/>
      <w:lang w:val="en-GB"/>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H64"/>
    <w:next w:val="Normal"/>
    <w:link w:val="Heading6Char"/>
    <w:rsid w:val="00E27C6D"/>
    <w:pPr>
      <w:keepNext/>
      <w:framePr w:hSpace="187" w:vSpace="187" w:wrap="notBeside" w:vAnchor="text" w:hAnchor="text" w:y="1"/>
      <w:widowControl/>
      <w:spacing w:before="60" w:after="120"/>
      <w:ind w:left="1152" w:hanging="1152"/>
      <w:outlineLvl w:val="5"/>
    </w:pPr>
    <w:rPr>
      <w:rFonts w:ascii="Arial" w:eastAsia="Times New Roman" w:hAnsi="Arial" w:cs="Times New Roman"/>
      <w:i/>
      <w:snapToGrid w:val="0"/>
      <w:sz w:val="18"/>
      <w:szCs w:val="20"/>
    </w:rPr>
  </w:style>
  <w:style w:type="paragraph" w:styleId="Heading7">
    <w:name w:val="heading 7"/>
    <w:aliases w:val="letter list,lettered list,h7,Heading7,7,Objective,ExhibitTitle,heading7,req3,st,SDL title,heading 7,hd7,fcs,figurecaps,Level 1.1,71,ExhibitTitle1,st1,Objective1,heading71,req31,72,ExhibitTitle2,st2,Objective2,heading72,req32,711,ExhibitTitle11"/>
    <w:basedOn w:val="Normal"/>
    <w:next w:val="Normal"/>
    <w:link w:val="Heading7Char"/>
    <w:unhideWhenUsed/>
    <w:rsid w:val="00E27C6D"/>
    <w:pPr>
      <w:keepNext/>
      <w:keepLines/>
      <w:spacing w:before="40" w:after="0"/>
      <w:outlineLvl w:val="6"/>
    </w:pPr>
    <w:rPr>
      <w:rFonts w:ascii="Cambria" w:eastAsia="Times New Roman" w:hAnsi="Cambria" w:cs="Times New Roman"/>
      <w:i/>
      <w:iCs/>
      <w:color w:val="243F60"/>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req211"/>
    <w:next w:val="Normal"/>
    <w:link w:val="Heading8Char"/>
    <w:rsid w:val="00E27C6D"/>
    <w:pPr>
      <w:keepNext/>
      <w:widowControl/>
      <w:spacing w:before="60" w:after="120"/>
      <w:ind w:left="1440" w:hanging="1440"/>
      <w:outlineLvl w:val="7"/>
    </w:pPr>
    <w:rPr>
      <w:rFonts w:ascii="Arial" w:eastAsia="Times New Roman" w:hAnsi="Arial" w:cs="Times New Roman"/>
      <w:i/>
      <w:sz w:val="18"/>
      <w:szCs w:val="20"/>
    </w:rPr>
  </w:style>
  <w:style w:type="paragraph" w:styleId="Heading9">
    <w:name w:val="heading 9"/>
    <w:aliases w:val="App Heading,Titre 10,App1,Legal Level 1.1.1.1.,9,TableTitle,Cond'l Reqt.,rb,req bullet,req1,tt,table title,TableText,heading 9,l9,h9,appendix,91,TableTitle1,Cond'l Reqt.1,rb1,req bullet1,req11,92,TableTitle2,Cond'l Reqt.2,rb2,req12"/>
    <w:next w:val="Normal"/>
    <w:link w:val="Heading9Char"/>
    <w:rsid w:val="00E27C6D"/>
    <w:pPr>
      <w:keepNext/>
      <w:widowControl/>
      <w:spacing w:before="60" w:after="120"/>
      <w:ind w:left="1584" w:hanging="1584"/>
      <w:outlineLvl w:val="8"/>
    </w:pPr>
    <w:rPr>
      <w:rFonts w:ascii="Arial" w:eastAsia="Times New Roman" w:hAnsi="Arial" w:cs="Times New Roman"/>
      <w:i/>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ody Text1 Char Char Char,bt,b"/>
    <w:basedOn w:val="Normal"/>
    <w:link w:val="BodyTextChar"/>
    <w:uiPriority w:val="1"/>
    <w:rsid w:val="00E27C6D"/>
    <w:pPr>
      <w:spacing w:before="38"/>
      <w:ind w:left="6140"/>
    </w:pPr>
    <w:rPr>
      <w:rFonts w:ascii="Arial Narrow" w:eastAsia="Arial Narrow" w:hAnsi="Arial Narrow"/>
      <w:b/>
      <w:bCs/>
      <w:sz w:val="54"/>
      <w:szCs w:val="54"/>
    </w:rPr>
  </w:style>
  <w:style w:type="paragraph" w:styleId="ListParagraph">
    <w:name w:val="List Paragraph"/>
    <w:aliases w:val="Bullet,Number,F5 List Paragraph,List Paragraph1,Dot pt,No Spacing1,List Paragraph Char Char Char,Indicator Text,Colorful List - Accent 11,Numbered Para 1,Bullet 1,Bullet Points,MAIN CONTENT,List Paragraph2,Normal numbered,List Paragraph11"/>
    <w:basedOn w:val="Normal"/>
    <w:link w:val="ListParagraphChar"/>
    <w:autoRedefine/>
    <w:uiPriority w:val="34"/>
    <w:qFormat/>
    <w:rsid w:val="00D53262"/>
    <w:pPr>
      <w:widowControl/>
      <w:numPr>
        <w:numId w:val="2"/>
      </w:numPr>
      <w:spacing w:after="120"/>
      <w:ind w:left="357" w:hanging="357"/>
      <w:contextualSpacing/>
      <w:jc w:val="both"/>
    </w:pPr>
    <w:rPr>
      <w:sz w:val="24"/>
    </w:rPr>
  </w:style>
  <w:style w:type="paragraph" w:customStyle="1" w:styleId="TableParagraph">
    <w:name w:val="Table Paragraph"/>
    <w:basedOn w:val="Normal"/>
    <w:link w:val="TableParagraphChar"/>
    <w:uiPriority w:val="1"/>
    <w:qFormat/>
    <w:rsid w:val="00125738"/>
    <w:pPr>
      <w:widowControl/>
      <w:spacing w:after="60"/>
    </w:pPr>
    <w:rPr>
      <w:lang w:val="en" w:eastAsia="en-GB"/>
    </w:rPr>
  </w:style>
  <w:style w:type="paragraph" w:styleId="Header">
    <w:name w:val="header"/>
    <w:aliases w:val="hd"/>
    <w:basedOn w:val="Normal"/>
    <w:link w:val="HeaderChar"/>
    <w:uiPriority w:val="99"/>
    <w:unhideWhenUsed/>
    <w:rsid w:val="00E27C6D"/>
    <w:pPr>
      <w:tabs>
        <w:tab w:val="center" w:pos="4513"/>
        <w:tab w:val="right" w:pos="9026"/>
      </w:tabs>
    </w:pPr>
  </w:style>
  <w:style w:type="character" w:customStyle="1" w:styleId="HeaderChar">
    <w:name w:val="Header Char"/>
    <w:aliases w:val="hd Char"/>
    <w:link w:val="Header"/>
    <w:uiPriority w:val="99"/>
    <w:rsid w:val="00E27C6D"/>
    <w:rPr>
      <w:rFonts w:ascii="Arial" w:eastAsia="Calibri" w:hAnsi="Arial" w:cs="Arial"/>
      <w:sz w:val="20"/>
      <w:szCs w:val="20"/>
    </w:rPr>
  </w:style>
  <w:style w:type="paragraph" w:styleId="Footer">
    <w:name w:val="footer"/>
    <w:aliases w:val="ft,footer odd,footer,Footer1"/>
    <w:basedOn w:val="Normal"/>
    <w:link w:val="FooterChar"/>
    <w:uiPriority w:val="99"/>
    <w:unhideWhenUsed/>
    <w:rsid w:val="00E27C6D"/>
    <w:pPr>
      <w:tabs>
        <w:tab w:val="center" w:pos="4513"/>
        <w:tab w:val="right" w:pos="9026"/>
      </w:tabs>
    </w:pPr>
  </w:style>
  <w:style w:type="character" w:customStyle="1" w:styleId="FooterChar">
    <w:name w:val="Footer Char"/>
    <w:aliases w:val="ft Char,footer odd Char,footer Char,Footer1 Char"/>
    <w:link w:val="Footer"/>
    <w:uiPriority w:val="99"/>
    <w:rsid w:val="00E27C6D"/>
    <w:rPr>
      <w:rFonts w:ascii="Arial" w:eastAsia="Calibri" w:hAnsi="Arial" w:cs="Arial"/>
      <w:sz w:val="20"/>
      <w:szCs w:val="20"/>
    </w:rPr>
  </w:style>
  <w:style w:type="character" w:styleId="Hyperlink">
    <w:name w:val="Hyperlink"/>
    <w:uiPriority w:val="99"/>
    <w:rsid w:val="00E27C6D"/>
    <w:rPr>
      <w:color w:val="0000FF"/>
      <w:u w:val="single"/>
    </w:rPr>
  </w:style>
  <w:style w:type="paragraph" w:styleId="TOC1">
    <w:name w:val="toc 1"/>
    <w:basedOn w:val="Normal"/>
    <w:next w:val="Normal"/>
    <w:uiPriority w:val="39"/>
    <w:rsid w:val="00E27C6D"/>
    <w:pPr>
      <w:widowControl/>
      <w:spacing w:before="120" w:after="120"/>
      <w:jc w:val="both"/>
    </w:pPr>
    <w:rPr>
      <w:rFonts w:eastAsia="Times New Roman"/>
      <w:b/>
      <w:bCs/>
      <w:caps/>
      <w:color w:val="16365D"/>
      <w:lang w:val="en-IE"/>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f"/>
    <w:basedOn w:val="Normal"/>
    <w:link w:val="FootnoteTextChar"/>
    <w:autoRedefine/>
    <w:unhideWhenUsed/>
    <w:qFormat/>
    <w:rsid w:val="00B33715"/>
    <w:pPr>
      <w:contextualSpacing/>
    </w:pPr>
    <w:rPr>
      <w:sz w:val="18"/>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f Char"/>
    <w:link w:val="FootnoteText"/>
    <w:rsid w:val="00B33715"/>
    <w:rPr>
      <w:rFonts w:ascii="Arial" w:eastAsia="Calibri" w:hAnsi="Arial" w:cs="Arial"/>
      <w:sz w:val="18"/>
      <w:szCs w:val="20"/>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u"/>
    <w:uiPriority w:val="99"/>
    <w:unhideWhenUsed/>
    <w:qFormat/>
    <w:rsid w:val="00E27C6D"/>
    <w:rPr>
      <w:vertAlign w:val="superscript"/>
    </w:rPr>
  </w:style>
  <w:style w:type="character" w:customStyle="1" w:styleId="Heading1Char">
    <w:name w:val="Heading 1 Char"/>
    <w:uiPriority w:val="9"/>
    <w:rsid w:val="00E27C6D"/>
    <w:rPr>
      <w:rFonts w:ascii="Cambria" w:eastAsiaTheme="majorEastAsia" w:hAnsi="Cambria" w:cstheme="majorBidi"/>
      <w:color w:val="365F91"/>
      <w:sz w:val="32"/>
      <w:szCs w:val="32"/>
    </w:rPr>
  </w:style>
  <w:style w:type="character" w:customStyle="1" w:styleId="Heading2Char">
    <w:name w:val="Heading 2 Char"/>
    <w:aliases w:val="A.B.C. Char,Heading2-bio Char,Career Exp. Char Char Char Char,Career Exp. Char Char Char Char Char Char,Oscar Faber 2 Char,level 1 subhead Char,Para Nos Char,Major Char,Paragraph Char,H2 Cha"/>
    <w:uiPriority w:val="9"/>
    <w:rsid w:val="00E27C6D"/>
    <w:rPr>
      <w:rFonts w:ascii="Cambria" w:eastAsiaTheme="majorEastAsia" w:hAnsi="Cambria" w:cstheme="majorBidi"/>
      <w:color w:val="365F91"/>
      <w:sz w:val="26"/>
      <w:szCs w:val="26"/>
    </w:rPr>
  </w:style>
  <w:style w:type="character" w:customStyle="1" w:styleId="Heading3Char">
    <w:name w:val="Heading 3 Char"/>
    <w:aliases w:val="Minor Char1,Oscar Faber 3 Char,Apx par Char,Outline3 Char,Mi Char,Headline Char,Minor Char Char1,Minor Char Char Char Char,Minor Char Char Char1,Heading 3HEADING Char,sh3 Char,Heading 14 Char,Proposa Char,ASAPHeading 3 Char,Subhead C Char"/>
    <w:link w:val="Heading3"/>
    <w:rsid w:val="00D465F1"/>
    <w:rPr>
      <w:rFonts w:ascii="Arial" w:eastAsia="Times New Roman" w:hAnsi="Arial" w:cs="Arial"/>
      <w:b/>
      <w:bCs/>
      <w:color w:val="009CDE"/>
      <w:sz w:val="24"/>
      <w:szCs w:val="20"/>
      <w:lang w:val="en-GB" w:eastAsia="en-GB"/>
    </w:rPr>
  </w:style>
  <w:style w:type="character" w:customStyle="1" w:styleId="Heading4Char">
    <w:name w:val="Heading 4 Char"/>
    <w:aliases w:val="Te Char,Req Char,Heading_Numbered_4 Char,H4 Char,Sub-Minor Char,Project table Char,Propos Char,Level 2 - a Char,Bullet 11 Char,Bullet 12 Char,Bullet 13 Char,Bullet 14 Char,Bullet 15 Char,Bullet 16 Char,h4 Char,Map Title Char,dash Char"/>
    <w:link w:val="Heading4"/>
    <w:rsid w:val="00D24DB2"/>
    <w:rPr>
      <w:rFonts w:ascii="Arial" w:eastAsia="Times New Roman" w:hAnsi="Arial" w:cs="Arial"/>
      <w:b/>
      <w:bCs/>
      <w:szCs w:val="20"/>
      <w:lang w:val="en-GB" w:eastAsia="en-GB"/>
    </w:rPr>
  </w:style>
  <w:style w:type="paragraph" w:customStyle="1" w:styleId="BodyText-parastyle">
    <w:name w:val="Body Text - para style"/>
    <w:basedOn w:val="BodyText"/>
    <w:link w:val="BodyText-parastyleChar"/>
    <w:autoRedefine/>
    <w:qFormat/>
    <w:rsid w:val="00AE785D"/>
    <w:pPr>
      <w:widowControl/>
      <w:spacing w:before="60"/>
      <w:ind w:left="0"/>
    </w:pPr>
    <w:rPr>
      <w:rFonts w:ascii="Arial" w:eastAsia="Times New Roman" w:hAnsi="Arial"/>
      <w:b w:val="0"/>
      <w:bCs w:val="0"/>
      <w:sz w:val="24"/>
      <w:szCs w:val="20"/>
      <w:lang w:val="en-GB" w:eastAsia="en-GB"/>
    </w:rPr>
  </w:style>
  <w:style w:type="character" w:customStyle="1" w:styleId="BodyText-parastyleChar">
    <w:name w:val="Body Text - para style Char"/>
    <w:link w:val="BodyText-parastyle"/>
    <w:rsid w:val="00AE785D"/>
    <w:rPr>
      <w:rFonts w:ascii="Arial" w:eastAsia="Times New Roman" w:hAnsi="Arial" w:cs="Arial"/>
      <w:sz w:val="24"/>
      <w:szCs w:val="20"/>
      <w:lang w:val="en-GB" w:eastAsia="en-GB"/>
    </w:rPr>
  </w:style>
  <w:style w:type="character" w:customStyle="1" w:styleId="Heading1Char1">
    <w:name w:val="Heading 1 Char1"/>
    <w:aliases w:val="chapter heading Char1,Chapter Hdg Char1,Section Char1,Section Heading Char,Outline1 Char,Oscar Faber 1 Char1,chapter heading Char Char,Chapter Hdg Char Char,Section Char Char,Oscar Faber 1 Char Char,Heading 1 Char1 Char Char,H1 Char"/>
    <w:link w:val="Heading1"/>
    <w:locked/>
    <w:rsid w:val="00BD70F6"/>
    <w:rPr>
      <w:rFonts w:ascii="Arial" w:eastAsiaTheme="majorEastAsia" w:hAnsi="Arial" w:cstheme="majorBidi"/>
      <w:bCs/>
      <w:caps/>
      <w:color w:val="3F9C35"/>
      <w:sz w:val="40"/>
      <w:szCs w:val="28"/>
      <w:lang w:val="en-GB"/>
    </w:rPr>
  </w:style>
  <w:style w:type="character" w:customStyle="1" w:styleId="Heading2Char1">
    <w:name w:val="Heading 2 Char1"/>
    <w:aliases w:val="KJL:1st Level Char,Reset numbering Char,PARA2 Char,S Heading Char,S Heading 2 Char,h2 Char,Number... Char,Numbered - 2 Char,1.1.1 heading Char,m Char,Body Text (Reset numbering) Char,H2 Char,TF-Overskrit 2 Char,h2 main heading Char"/>
    <w:link w:val="Heading2"/>
    <w:locked/>
    <w:rsid w:val="00BD70F6"/>
    <w:rPr>
      <w:rFonts w:ascii="Arial" w:eastAsia="Times New Roman" w:hAnsi="Arial" w:cs="Arial"/>
      <w:bCs/>
      <w:iCs/>
      <w:color w:val="63666A"/>
      <w:sz w:val="28"/>
      <w:szCs w:val="28"/>
      <w:lang w:val="en-GB" w:eastAsia="en-GB"/>
    </w:rPr>
  </w:style>
  <w:style w:type="paragraph" w:styleId="TOC2">
    <w:name w:val="toc 2"/>
    <w:basedOn w:val="Normal"/>
    <w:next w:val="Normal"/>
    <w:autoRedefine/>
    <w:uiPriority w:val="39"/>
    <w:unhideWhenUsed/>
    <w:rsid w:val="00E27C6D"/>
    <w:pPr>
      <w:tabs>
        <w:tab w:val="left" w:pos="880"/>
        <w:tab w:val="right" w:leader="dot" w:pos="9637"/>
      </w:tabs>
      <w:spacing w:after="100"/>
      <w:ind w:left="220" w:firstLine="206"/>
    </w:pPr>
    <w:rPr>
      <w:color w:val="7F7F7F"/>
    </w:rPr>
  </w:style>
  <w:style w:type="paragraph" w:styleId="TOCHeading">
    <w:name w:val="TOC Heading"/>
    <w:basedOn w:val="Heading1"/>
    <w:next w:val="Normal"/>
    <w:uiPriority w:val="39"/>
    <w:unhideWhenUsed/>
    <w:qFormat/>
    <w:rsid w:val="00E27C6D"/>
    <w:pPr>
      <w:pageBreakBefore w:val="0"/>
      <w:numPr>
        <w:numId w:val="0"/>
      </w:numPr>
      <w:spacing w:after="0" w:line="259" w:lineRule="auto"/>
      <w:outlineLvl w:val="9"/>
    </w:pPr>
    <w:rPr>
      <w:rFonts w:ascii="Cambria" w:hAnsi="Cambria"/>
      <w:b/>
      <w:bCs w:val="0"/>
      <w:color w:val="365F91"/>
      <w:sz w:val="32"/>
      <w:szCs w:val="32"/>
      <w:lang w:val="en-US"/>
    </w:rPr>
  </w:style>
  <w:style w:type="paragraph" w:styleId="TOC3">
    <w:name w:val="toc 3"/>
    <w:basedOn w:val="Normal"/>
    <w:next w:val="Normal"/>
    <w:autoRedefine/>
    <w:uiPriority w:val="39"/>
    <w:unhideWhenUsed/>
    <w:rsid w:val="00E27C6D"/>
    <w:pPr>
      <w:widowControl/>
      <w:spacing w:after="100" w:line="259" w:lineRule="auto"/>
      <w:ind w:left="440"/>
    </w:pPr>
    <w:rPr>
      <w:rFonts w:eastAsiaTheme="minorEastAsia" w:cs="Times New Roman"/>
    </w:rPr>
  </w:style>
  <w:style w:type="paragraph" w:styleId="IntenseQuote">
    <w:name w:val="Intense Quote"/>
    <w:aliases w:val="Table caption"/>
    <w:basedOn w:val="Normal"/>
    <w:next w:val="Normal"/>
    <w:link w:val="IntenseQuoteChar"/>
    <w:autoRedefine/>
    <w:uiPriority w:val="30"/>
    <w:qFormat/>
    <w:rsid w:val="00CD4614"/>
    <w:pPr>
      <w:pBdr>
        <w:top w:val="single" w:sz="4" w:space="3" w:color="009CDE"/>
        <w:bottom w:val="single" w:sz="4" w:space="3" w:color="009CDE"/>
      </w:pBdr>
      <w:spacing w:before="360" w:after="360"/>
      <w:ind w:left="864" w:right="140" w:hanging="864"/>
    </w:pPr>
    <w:rPr>
      <w:b/>
      <w:iCs/>
      <w:color w:val="009CDE"/>
      <w:sz w:val="22"/>
      <w:lang w:val="en" w:eastAsia="en-GB"/>
    </w:rPr>
  </w:style>
  <w:style w:type="character" w:customStyle="1" w:styleId="IntenseQuoteChar">
    <w:name w:val="Intense Quote Char"/>
    <w:aliases w:val="Table caption Char"/>
    <w:link w:val="IntenseQuote"/>
    <w:uiPriority w:val="30"/>
    <w:rsid w:val="00CD4614"/>
    <w:rPr>
      <w:rFonts w:ascii="Arial" w:eastAsia="Calibri" w:hAnsi="Arial" w:cs="Arial"/>
      <w:b/>
      <w:iCs/>
      <w:color w:val="009CDE"/>
      <w:szCs w:val="20"/>
      <w:lang w:val="en" w:eastAsia="en-GB"/>
    </w:rPr>
  </w:style>
  <w:style w:type="paragraph" w:styleId="Quote">
    <w:name w:val="Quote"/>
    <w:aliases w:val="Source"/>
    <w:basedOn w:val="Normal"/>
    <w:next w:val="Normal"/>
    <w:link w:val="QuoteChar"/>
    <w:autoRedefine/>
    <w:uiPriority w:val="29"/>
    <w:qFormat/>
    <w:rsid w:val="00C1662B"/>
    <w:pPr>
      <w:spacing w:before="0" w:after="240" w:line="240" w:lineRule="atLeast"/>
      <w:ind w:right="862"/>
    </w:pPr>
    <w:rPr>
      <w:i/>
      <w:iCs/>
      <w:color w:val="404040"/>
    </w:rPr>
  </w:style>
  <w:style w:type="character" w:customStyle="1" w:styleId="QuoteChar">
    <w:name w:val="Quote Char"/>
    <w:aliases w:val="Source Char"/>
    <w:link w:val="Quote"/>
    <w:uiPriority w:val="29"/>
    <w:rsid w:val="00C1662B"/>
    <w:rPr>
      <w:rFonts w:ascii="Arial" w:eastAsia="Calibri" w:hAnsi="Arial" w:cs="Arial"/>
      <w:i/>
      <w:iCs/>
      <w:color w:val="404040"/>
      <w:sz w:val="20"/>
      <w:szCs w:val="20"/>
    </w:rPr>
  </w:style>
  <w:style w:type="paragraph" w:customStyle="1" w:styleId="Tablefigures">
    <w:name w:val="Table figures"/>
    <w:basedOn w:val="Normal"/>
    <w:uiPriority w:val="1"/>
    <w:qFormat/>
    <w:rsid w:val="00E27C6D"/>
    <w:pPr>
      <w:framePr w:hSpace="180" w:wrap="around" w:vAnchor="text" w:hAnchor="margin" w:x="108" w:y="15"/>
      <w:widowControl/>
      <w:spacing w:after="60"/>
      <w:jc w:val="right"/>
    </w:pPr>
    <w:rPr>
      <w:rFonts w:eastAsia="Times New Roman"/>
      <w:color w:val="000000"/>
      <w:lang w:val="en-GB" w:eastAsia="en-GB"/>
    </w:rPr>
  </w:style>
  <w:style w:type="character" w:styleId="Strong">
    <w:name w:val="Strong"/>
    <w:aliases w:val="Body Text Bold"/>
    <w:uiPriority w:val="22"/>
    <w:qFormat/>
    <w:rsid w:val="005624F0"/>
    <w:rPr>
      <w:rFonts w:ascii="Arial" w:hAnsi="Arial"/>
      <w:b/>
      <w:sz w:val="24"/>
    </w:rPr>
  </w:style>
  <w:style w:type="paragraph" w:customStyle="1" w:styleId="-bullet">
    <w:name w:val="- bullet"/>
    <w:basedOn w:val="ListParagraph"/>
    <w:autoRedefine/>
    <w:qFormat/>
    <w:rsid w:val="00771CC1"/>
    <w:pPr>
      <w:numPr>
        <w:numId w:val="7"/>
      </w:numPr>
      <w:ind w:left="714" w:hanging="357"/>
    </w:pPr>
    <w:rPr>
      <w:rFonts w:eastAsia="Times New Roman" w:cs="Times New Roman"/>
      <w:lang w:val="en-GB" w:eastAsia="en-GB"/>
    </w:rPr>
  </w:style>
  <w:style w:type="paragraph" w:customStyle="1" w:styleId="TableHeadings">
    <w:name w:val="Table Headings"/>
    <w:basedOn w:val="Normal"/>
    <w:link w:val="TableHeadingsChar"/>
    <w:autoRedefine/>
    <w:uiPriority w:val="1"/>
    <w:qFormat/>
    <w:rsid w:val="00B5200D"/>
    <w:pPr>
      <w:keepNext/>
      <w:keepLines/>
      <w:framePr w:hSpace="180" w:wrap="around" w:vAnchor="text" w:hAnchor="margin" w:x="108" w:y="15"/>
      <w:spacing w:after="60"/>
      <w:jc w:val="center"/>
    </w:pPr>
    <w:rPr>
      <w:rFonts w:eastAsiaTheme="minorHAnsi"/>
      <w:b/>
      <w:szCs w:val="22"/>
    </w:rPr>
  </w:style>
  <w:style w:type="table" w:styleId="TableGrid">
    <w:name w:val="Table Grid"/>
    <w:aliases w:val="Table for documents,Forfas Table Grid"/>
    <w:basedOn w:val="TableNormal"/>
    <w:rsid w:val="0085543C"/>
    <w:pPr>
      <w:widowControl/>
    </w:pPr>
    <w:rPr>
      <w:rFonts w:ascii="Arial" w:eastAsia="Calibri" w:hAnsi="Arial" w:cs="Times New Roman"/>
      <w:sz w:val="20"/>
      <w:szCs w:val="20"/>
      <w:lang w:val="en-GB"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shd w:val="clear" w:color="auto" w:fill="009CDE"/>
      </w:tcPr>
    </w:tblStylePr>
    <w:tblStylePr w:type="la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666A"/>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TableHeadingsChar">
    <w:name w:val="Table Headings Char"/>
    <w:link w:val="TableHeadings"/>
    <w:uiPriority w:val="1"/>
    <w:rsid w:val="00B5200D"/>
    <w:rPr>
      <w:rFonts w:ascii="Arial" w:hAnsi="Arial" w:cs="Arial"/>
      <w:b/>
      <w:sz w:val="20"/>
    </w:rPr>
  </w:style>
  <w:style w:type="character" w:styleId="SubtleEmphasis">
    <w:name w:val="Subtle Emphasis"/>
    <w:uiPriority w:val="19"/>
    <w:rsid w:val="00E27C6D"/>
    <w:rPr>
      <w:i/>
      <w:iCs/>
      <w:color w:val="404040"/>
    </w:rPr>
  </w:style>
  <w:style w:type="paragraph" w:styleId="Title">
    <w:name w:val="Title"/>
    <w:aliases w:val="Date title"/>
    <w:basedOn w:val="Normal"/>
    <w:next w:val="Normal"/>
    <w:link w:val="TitleChar"/>
    <w:uiPriority w:val="10"/>
    <w:rsid w:val="00E27C6D"/>
    <w:pPr>
      <w:spacing w:before="0"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aliases w:val="Date title Char"/>
    <w:link w:val="Title"/>
    <w:uiPriority w:val="10"/>
    <w:rsid w:val="00E27C6D"/>
    <w:rPr>
      <w:rFonts w:ascii="Cambria" w:eastAsiaTheme="majorEastAsia" w:hAnsi="Cambria" w:cstheme="majorBidi"/>
      <w:spacing w:val="-10"/>
      <w:kern w:val="28"/>
      <w:sz w:val="56"/>
      <w:szCs w:val="56"/>
    </w:rPr>
  </w:style>
  <w:style w:type="character" w:styleId="BookTitle">
    <w:name w:val="Book Title"/>
    <w:aliases w:val="Report title"/>
    <w:uiPriority w:val="33"/>
    <w:qFormat/>
    <w:rsid w:val="00E27C6D"/>
    <w:rPr>
      <w:b/>
      <w:bCs/>
      <w:i/>
      <w:iCs/>
      <w:spacing w:val="5"/>
    </w:rPr>
  </w:style>
  <w:style w:type="paragraph" w:styleId="NoSpacing">
    <w:name w:val="No Spacing"/>
    <w:uiPriority w:val="1"/>
    <w:qFormat/>
    <w:rsid w:val="00E27C6D"/>
    <w:rPr>
      <w:rFonts w:ascii="Arial" w:eastAsia="Calibri" w:hAnsi="Arial" w:cs="Arial"/>
      <w:sz w:val="20"/>
      <w:szCs w:val="20"/>
    </w:rPr>
  </w:style>
  <w:style w:type="character" w:styleId="IntenseReference">
    <w:name w:val="Intense Reference"/>
    <w:uiPriority w:val="32"/>
    <w:qFormat/>
    <w:rsid w:val="00E27C6D"/>
    <w:rPr>
      <w:b/>
      <w:bCs/>
      <w:smallCaps/>
      <w:color w:val="4F81BD"/>
      <w:spacing w:val="5"/>
    </w:rPr>
  </w:style>
  <w:style w:type="table" w:customStyle="1" w:styleId="Style1">
    <w:name w:val="Style1"/>
    <w:basedOn w:val="TableNormal"/>
    <w:uiPriority w:val="99"/>
    <w:rsid w:val="00E27C6D"/>
    <w:pPr>
      <w:widowControl/>
    </w:pPr>
    <w:rPr>
      <w:rFonts w:ascii="Calibri" w:eastAsia="Calibri" w:hAnsi="Calibri" w:cs="Times New Roman"/>
      <w:sz w:val="20"/>
      <w:szCs w:val="20"/>
      <w:lang w:val="en-GB" w:eastAsia="en-GB"/>
    </w:rPr>
    <w:tblPr/>
  </w:style>
  <w:style w:type="character" w:styleId="FollowedHyperlink">
    <w:name w:val="FollowedHyperlink"/>
    <w:uiPriority w:val="99"/>
    <w:unhideWhenUsed/>
    <w:rsid w:val="00E27C6D"/>
    <w:rPr>
      <w:color w:val="800080"/>
      <w:u w:val="single"/>
    </w:rPr>
  </w:style>
  <w:style w:type="table" w:customStyle="1" w:styleId="Style2">
    <w:name w:val="Style2"/>
    <w:basedOn w:val="TableNormal"/>
    <w:uiPriority w:val="99"/>
    <w:rsid w:val="00E27C6D"/>
    <w:pPr>
      <w:widowControl/>
    </w:pPr>
    <w:rPr>
      <w:rFonts w:ascii="Calibri" w:eastAsia="Calibri" w:hAnsi="Calibri" w:cs="Times New Roman"/>
      <w:sz w:val="20"/>
      <w:szCs w:val="20"/>
      <w:lang w:val="en-GB" w:eastAsia="en-GB"/>
    </w:rPr>
    <w:tblPr/>
  </w:style>
  <w:style w:type="table" w:customStyle="1" w:styleId="GridTable4-Accent11">
    <w:name w:val="Grid Table 4 - Accent 11"/>
    <w:aliases w:val="table report"/>
    <w:basedOn w:val="TableTheme"/>
    <w:uiPriority w:val="49"/>
    <w:rsid w:val="00E27C6D"/>
    <w:rPr>
      <w:rFonts w:ascii="Arial" w:hAnsi="Arial"/>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pPr>
        <w:jc w:val="center"/>
      </w:pPr>
      <w:rPr>
        <w:rFonts w:ascii="Arial" w:hAnsi="Arial"/>
        <w:b/>
        <w:bCs/>
        <w:color w:val="FFFFFF"/>
        <w:sz w:val="20"/>
      </w:rPr>
      <w:tblPr/>
      <w:tcPr>
        <w:shd w:val="clear" w:color="auto" w:fill="16365D"/>
        <w:vAlign w:val="center"/>
      </w:tcPr>
    </w:tblStylePr>
    <w:tblStylePr w:type="lastRow">
      <w:pPr>
        <w:jc w:val="left"/>
      </w:pPr>
      <w:rPr>
        <w:rFonts w:ascii="Arial" w:hAnsi="Arial"/>
        <w:b/>
        <w:bCs/>
        <w:sz w:val="20"/>
      </w:rPr>
      <w:tblPr/>
      <w:tcPr>
        <w:shd w:val="clear" w:color="auto" w:fill="CBCBCB"/>
        <w:vAlign w:val="bottom"/>
      </w:tcPr>
    </w:tblStylePr>
    <w:tblStylePr w:type="firstCol">
      <w:pPr>
        <w:jc w:val="left"/>
      </w:pPr>
      <w:rPr>
        <w:rFonts w:ascii="Arial" w:hAnsi="Arial"/>
        <w:b w:val="0"/>
        <w:bCs/>
        <w:sz w:val="20"/>
      </w:rPr>
      <w:tblPr/>
      <w:tcPr>
        <w:shd w:val="clear" w:color="auto" w:fill="DBE5F1"/>
      </w:tcPr>
    </w:tblStylePr>
    <w:tblStylePr w:type="lastCol">
      <w:pPr>
        <w:jc w:val="left"/>
      </w:pPr>
      <w:rPr>
        <w:rFonts w:ascii="Arial" w:hAnsi="Arial"/>
        <w:b w:val="0"/>
        <w:bCs/>
        <w:sz w:val="20"/>
      </w:rPr>
    </w:tblStylePr>
    <w:tblStylePr w:type="band1Vert">
      <w:rPr>
        <w:rFonts w:ascii="Arial" w:hAnsi="Arial"/>
        <w:sz w:val="20"/>
      </w:rPr>
      <w:tblPr/>
      <w:tcPr>
        <w:shd w:val="clear" w:color="auto" w:fill="DBE5F1"/>
      </w:tcPr>
    </w:tblStylePr>
    <w:tblStylePr w:type="band2Vert">
      <w:pPr>
        <w:jc w:val="left"/>
      </w:pPr>
      <w:rPr>
        <w:rFonts w:ascii="Arial" w:hAnsi="Arial"/>
        <w:sz w:val="20"/>
      </w:rPr>
      <w:tblPr/>
      <w:tcPr>
        <w:shd w:val="clear" w:color="auto" w:fill="DBE5F1"/>
      </w:tcPr>
    </w:tblStylePr>
    <w:tblStylePr w:type="band1Horz">
      <w:pPr>
        <w:jc w:val="left"/>
      </w:pPr>
      <w:rPr>
        <w:rFonts w:ascii="Arial" w:hAnsi="Arial"/>
        <w:sz w:val="20"/>
      </w:rPr>
      <w:tblPr/>
      <w:tcPr>
        <w:shd w:val="clear" w:color="auto" w:fill="DBE5F1"/>
      </w:tcPr>
    </w:tblStylePr>
    <w:tblStylePr w:type="band2Horz">
      <w:rPr>
        <w:rFonts w:ascii="Arial" w:hAnsi="Arial"/>
        <w:sz w:val="20"/>
      </w:rPr>
      <w:tblPr/>
      <w:tcPr>
        <w:shd w:val="clear" w:color="auto" w:fill="DBE5F1"/>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Style3">
    <w:name w:val="Style3"/>
    <w:basedOn w:val="TableNormal"/>
    <w:uiPriority w:val="99"/>
    <w:rsid w:val="00E27C6D"/>
    <w:pPr>
      <w:widowControl/>
    </w:pPr>
    <w:rPr>
      <w:rFonts w:ascii="Calibri" w:eastAsia="Calibri" w:hAnsi="Calibri" w:cs="Times New Roman"/>
      <w:sz w:val="20"/>
      <w:szCs w:val="20"/>
      <w:lang w:val="en-GB" w:eastAsia="en-GB"/>
    </w:rPr>
    <w:tblPr/>
  </w:style>
  <w:style w:type="table" w:customStyle="1" w:styleId="GridTable3-Accent11">
    <w:name w:val="Grid Table 3 - Accent 1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ppendixHeader">
    <w:name w:val="Appendix Header"/>
    <w:basedOn w:val="Normal"/>
    <w:autoRedefine/>
    <w:rsid w:val="00481F33"/>
    <w:pPr>
      <w:widowControl/>
      <w:spacing w:after="60"/>
      <w:jc w:val="center"/>
    </w:pPr>
    <w:rPr>
      <w:rFonts w:eastAsia="Times New Roman"/>
      <w:b/>
      <w:bCs/>
      <w:caps/>
      <w:color w:val="009CDE"/>
      <w:sz w:val="32"/>
      <w:szCs w:val="32"/>
      <w:lang w:val="en-GB"/>
    </w:rPr>
  </w:style>
  <w:style w:type="character" w:styleId="PageNumber">
    <w:name w:val="page number"/>
    <w:basedOn w:val="DefaultParagraphFont"/>
    <w:rsid w:val="00E27C6D"/>
  </w:style>
  <w:style w:type="paragraph" w:styleId="EndnoteText">
    <w:name w:val="endnote text"/>
    <w:basedOn w:val="Normal"/>
    <w:link w:val="EndnoteTextChar"/>
    <w:uiPriority w:val="99"/>
    <w:semiHidden/>
    <w:unhideWhenUsed/>
    <w:rsid w:val="00E27C6D"/>
    <w:pPr>
      <w:spacing w:before="0" w:after="0" w:line="240" w:lineRule="auto"/>
    </w:pPr>
  </w:style>
  <w:style w:type="character" w:customStyle="1" w:styleId="EndnoteTextChar">
    <w:name w:val="Endnote Text Char"/>
    <w:link w:val="EndnoteText"/>
    <w:uiPriority w:val="99"/>
    <w:semiHidden/>
    <w:rsid w:val="00E27C6D"/>
    <w:rPr>
      <w:rFonts w:ascii="Arial" w:eastAsia="Calibri" w:hAnsi="Arial" w:cs="Arial"/>
      <w:sz w:val="20"/>
      <w:szCs w:val="20"/>
    </w:rPr>
  </w:style>
  <w:style w:type="character" w:styleId="EndnoteReference">
    <w:name w:val="endnote reference"/>
    <w:uiPriority w:val="99"/>
    <w:semiHidden/>
    <w:unhideWhenUsed/>
    <w:rsid w:val="00E27C6D"/>
    <w:rPr>
      <w:vertAlign w:val="superscript"/>
    </w:rPr>
  </w:style>
  <w:style w:type="paragraph" w:customStyle="1" w:styleId="Footnotes">
    <w:name w:val="Footnotes"/>
    <w:basedOn w:val="FootnoteText"/>
    <w:link w:val="FootnotesChar"/>
    <w:autoRedefine/>
    <w:uiPriority w:val="1"/>
    <w:qFormat/>
    <w:rsid w:val="00D465F1"/>
    <w:rPr>
      <w:rFonts w:eastAsiaTheme="minorHAnsi"/>
      <w:sz w:val="22"/>
      <w:szCs w:val="22"/>
    </w:rPr>
  </w:style>
  <w:style w:type="character" w:customStyle="1" w:styleId="FootnotesChar">
    <w:name w:val="Footnotes Char"/>
    <w:link w:val="Footnotes"/>
    <w:uiPriority w:val="1"/>
    <w:rsid w:val="00D465F1"/>
    <w:rPr>
      <w:rFonts w:ascii="Arial" w:hAnsi="Arial" w:cs="Arial"/>
    </w:rPr>
  </w:style>
  <w:style w:type="paragraph" w:customStyle="1" w:styleId="Tablebullet">
    <w:name w:val="Table bullet"/>
    <w:basedOn w:val="TableParagraph"/>
    <w:link w:val="TablebulletChar"/>
    <w:uiPriority w:val="1"/>
    <w:qFormat/>
    <w:rsid w:val="00125738"/>
    <w:pPr>
      <w:numPr>
        <w:numId w:val="8"/>
      </w:numPr>
      <w:ind w:left="327" w:hanging="283"/>
    </w:pPr>
  </w:style>
  <w:style w:type="character" w:customStyle="1" w:styleId="TableParagraphChar">
    <w:name w:val="Table Paragraph Char"/>
    <w:link w:val="TableParagraph"/>
    <w:uiPriority w:val="1"/>
    <w:rsid w:val="00125738"/>
    <w:rPr>
      <w:rFonts w:ascii="Arial" w:eastAsia="Calibri" w:hAnsi="Arial" w:cs="Arial"/>
      <w:sz w:val="20"/>
      <w:szCs w:val="20"/>
      <w:lang w:val="en" w:eastAsia="en-GB"/>
    </w:rPr>
  </w:style>
  <w:style w:type="character" w:customStyle="1" w:styleId="TablebulletChar">
    <w:name w:val="Table bullet Char"/>
    <w:link w:val="Tablebullet"/>
    <w:uiPriority w:val="1"/>
    <w:rsid w:val="00125738"/>
    <w:rPr>
      <w:rFonts w:ascii="Arial" w:eastAsia="Calibri" w:hAnsi="Arial" w:cs="Arial"/>
      <w:sz w:val="20"/>
      <w:szCs w:val="20"/>
      <w:lang w:val="en" w:eastAsia="en-GB"/>
    </w:rPr>
  </w:style>
  <w:style w:type="table" w:styleId="TableTheme">
    <w:name w:val="Table Theme"/>
    <w:basedOn w:val="TableNormal"/>
    <w:uiPriority w:val="99"/>
    <w:semiHidden/>
    <w:unhideWhenUsed/>
    <w:rsid w:val="00E27C6D"/>
    <w:pPr>
      <w:widowControl/>
      <w:spacing w:before="60" w:after="180" w:line="288"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27C6D"/>
    <w:pPr>
      <w:widowControl/>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Header1">
    <w:name w:val="Header 1"/>
    <w:basedOn w:val="Normal"/>
    <w:link w:val="Header1Char"/>
    <w:autoRedefine/>
    <w:uiPriority w:val="1"/>
    <w:rsid w:val="00E27C6D"/>
    <w:pPr>
      <w:tabs>
        <w:tab w:val="left" w:pos="1620"/>
      </w:tabs>
      <w:spacing w:before="0" w:after="0" w:line="240" w:lineRule="auto"/>
      <w:ind w:right="-2"/>
      <w:jc w:val="right"/>
    </w:pPr>
    <w:rPr>
      <w:b/>
      <w:noProof/>
      <w:color w:val="16365D"/>
      <w:sz w:val="16"/>
      <w:lang w:val="en-GB" w:eastAsia="en-GB"/>
    </w:rPr>
  </w:style>
  <w:style w:type="paragraph" w:customStyle="1" w:styleId="Header2">
    <w:name w:val="Header 2"/>
    <w:basedOn w:val="Normal"/>
    <w:link w:val="Header2Char"/>
    <w:autoRedefine/>
    <w:uiPriority w:val="1"/>
    <w:rsid w:val="00E27C6D"/>
    <w:pPr>
      <w:tabs>
        <w:tab w:val="left" w:pos="1620"/>
      </w:tabs>
      <w:spacing w:before="0" w:after="0" w:line="240" w:lineRule="auto"/>
      <w:ind w:right="-2"/>
      <w:jc w:val="right"/>
    </w:pPr>
    <w:rPr>
      <w:b/>
      <w:color w:val="7F7F7F"/>
      <w:sz w:val="16"/>
    </w:rPr>
  </w:style>
  <w:style w:type="character" w:customStyle="1" w:styleId="Header1Char">
    <w:name w:val="Header 1 Char"/>
    <w:link w:val="Header1"/>
    <w:uiPriority w:val="1"/>
    <w:rsid w:val="00E27C6D"/>
    <w:rPr>
      <w:rFonts w:ascii="Arial" w:eastAsia="Calibri" w:hAnsi="Arial" w:cs="Arial"/>
      <w:b/>
      <w:noProof/>
      <w:color w:val="16365D"/>
      <w:sz w:val="16"/>
      <w:szCs w:val="20"/>
      <w:lang w:val="en-GB" w:eastAsia="en-GB"/>
    </w:rPr>
  </w:style>
  <w:style w:type="character" w:customStyle="1" w:styleId="Header2Char">
    <w:name w:val="Header 2 Char"/>
    <w:link w:val="Header2"/>
    <w:uiPriority w:val="1"/>
    <w:rsid w:val="00E27C6D"/>
    <w:rPr>
      <w:rFonts w:ascii="Arial" w:eastAsia="Calibri" w:hAnsi="Arial" w:cs="Arial"/>
      <w:b/>
      <w:color w:val="7F7F7F"/>
      <w:sz w:val="16"/>
      <w:szCs w:val="20"/>
    </w:rPr>
  </w:style>
  <w:style w:type="paragraph" w:styleId="Subtitle">
    <w:name w:val="Subtitle"/>
    <w:basedOn w:val="Normal"/>
    <w:next w:val="Normal"/>
    <w:link w:val="SubtitleChar"/>
    <w:uiPriority w:val="11"/>
    <w:rsid w:val="00E27C6D"/>
    <w:pPr>
      <w:numPr>
        <w:ilvl w:val="1"/>
      </w:numPr>
      <w:spacing w:after="160"/>
    </w:pPr>
    <w:rPr>
      <w:rFonts w:ascii="Calibri" w:eastAsiaTheme="minorEastAsia" w:hAnsi="Calibri" w:cstheme="minorBidi"/>
      <w:color w:val="5A5A5A"/>
      <w:spacing w:val="15"/>
      <w:sz w:val="22"/>
      <w:szCs w:val="22"/>
    </w:rPr>
  </w:style>
  <w:style w:type="character" w:customStyle="1" w:styleId="SubtitleChar">
    <w:name w:val="Subtitle Char"/>
    <w:link w:val="Subtitle"/>
    <w:uiPriority w:val="11"/>
    <w:rsid w:val="00E27C6D"/>
    <w:rPr>
      <w:rFonts w:ascii="Calibri" w:eastAsiaTheme="minorEastAsia" w:hAnsi="Calibri"/>
      <w:color w:val="5A5A5A"/>
      <w:spacing w:val="15"/>
    </w:rPr>
  </w:style>
  <w:style w:type="character" w:styleId="IntenseEmphasis">
    <w:name w:val="Intense Emphasis"/>
    <w:uiPriority w:val="21"/>
    <w:qFormat/>
    <w:rsid w:val="00E27C6D"/>
    <w:rPr>
      <w:i/>
      <w:iCs/>
      <w:color w:val="4F81BD"/>
    </w:rPr>
  </w:style>
  <w:style w:type="character" w:styleId="Emphasis">
    <w:name w:val="Emphasis"/>
    <w:uiPriority w:val="20"/>
    <w:qFormat/>
    <w:rsid w:val="00E27C6D"/>
    <w:rPr>
      <w:i/>
      <w:iCs/>
    </w:rPr>
  </w:style>
  <w:style w:type="character" w:styleId="SubtleReference">
    <w:name w:val="Subtle Reference"/>
    <w:uiPriority w:val="31"/>
    <w:rsid w:val="00E27C6D"/>
    <w:rPr>
      <w:smallCaps/>
      <w:color w:val="5A5A5A"/>
    </w:rPr>
  </w:style>
  <w:style w:type="paragraph" w:customStyle="1" w:styleId="Header1FrontPage">
    <w:name w:val="Header 1 Front Page"/>
    <w:basedOn w:val="Header1"/>
    <w:link w:val="Header1FrontPageChar"/>
    <w:uiPriority w:val="1"/>
    <w:rsid w:val="00E27C6D"/>
    <w:pPr>
      <w:ind w:left="567"/>
      <w:jc w:val="left"/>
    </w:pPr>
    <w:rPr>
      <w:sz w:val="28"/>
    </w:rPr>
  </w:style>
  <w:style w:type="paragraph" w:customStyle="1" w:styleId="Header2FrontPage">
    <w:name w:val="Header 2 Front Page"/>
    <w:basedOn w:val="Header2"/>
    <w:link w:val="Header2FrontPageChar"/>
    <w:uiPriority w:val="1"/>
    <w:qFormat/>
    <w:rsid w:val="00E27C6D"/>
    <w:pPr>
      <w:ind w:left="567"/>
      <w:jc w:val="left"/>
    </w:pPr>
    <w:rPr>
      <w:sz w:val="28"/>
      <w:szCs w:val="28"/>
    </w:rPr>
  </w:style>
  <w:style w:type="character" w:customStyle="1" w:styleId="Header1FrontPageChar">
    <w:name w:val="Header 1 Front Page Char"/>
    <w:link w:val="Header1FrontPage"/>
    <w:uiPriority w:val="1"/>
    <w:rsid w:val="00E27C6D"/>
    <w:rPr>
      <w:rFonts w:ascii="Arial" w:eastAsia="Calibri" w:hAnsi="Arial" w:cs="Arial"/>
      <w:b/>
      <w:noProof/>
      <w:color w:val="16365D"/>
      <w:sz w:val="28"/>
      <w:szCs w:val="20"/>
      <w:lang w:val="en-GB" w:eastAsia="en-GB"/>
    </w:rPr>
  </w:style>
  <w:style w:type="character" w:customStyle="1" w:styleId="Header2FrontPageChar">
    <w:name w:val="Header 2 Front Page Char"/>
    <w:link w:val="Header2FrontPage"/>
    <w:uiPriority w:val="1"/>
    <w:rsid w:val="00E27C6D"/>
    <w:rPr>
      <w:rFonts w:ascii="Arial" w:eastAsia="Calibri" w:hAnsi="Arial" w:cs="Arial"/>
      <w:b/>
      <w:color w:val="7F7F7F"/>
      <w:sz w:val="28"/>
      <w:szCs w:val="28"/>
    </w:rPr>
  </w:style>
  <w:style w:type="paragraph" w:customStyle="1" w:styleId="Footnotenumber">
    <w:name w:val="Footnote number"/>
    <w:basedOn w:val="BodyText-parastyle"/>
    <w:link w:val="FootnotenumberChar"/>
    <w:uiPriority w:val="1"/>
    <w:qFormat/>
    <w:rsid w:val="00E27C6D"/>
    <w:rPr>
      <w:vertAlign w:val="superscript"/>
    </w:rPr>
  </w:style>
  <w:style w:type="character" w:customStyle="1" w:styleId="FootnotenumberChar">
    <w:name w:val="Footnote number Char"/>
    <w:basedOn w:val="BodyText-parastyleChar"/>
    <w:link w:val="Footnotenumber"/>
    <w:uiPriority w:val="1"/>
    <w:rsid w:val="00E27C6D"/>
    <w:rPr>
      <w:rFonts w:ascii="Arial" w:eastAsia="Times New Roman" w:hAnsi="Arial" w:cs="Arial"/>
      <w:sz w:val="20"/>
      <w:szCs w:val="20"/>
      <w:vertAlign w:val="superscript"/>
      <w:lang w:val="en-GB" w:eastAsia="en-GB"/>
    </w:rPr>
  </w:style>
  <w:style w:type="character" w:customStyle="1" w:styleId="Heading5Char">
    <w:name w:val="Heading 5 Char"/>
    <w:aliases w:val="Roman list Char,Appendix A to X Char,Heading 5   Appendix A to X Char,Block Label Char,h5 Char,Heading5 Char,5 sub-bullet Char,sb Char,H5-Heading 5 Char,l5 Char,heading5 Char,heading 5 Char,tcs Char,tablecaps Char,hd5 Char,H5 Char"/>
    <w:link w:val="Heading5"/>
    <w:rsid w:val="00E27C6D"/>
    <w:rPr>
      <w:rFonts w:ascii="Univers" w:eastAsia="Times New Roman" w:hAnsi="Univers" w:cs="Times New Roman"/>
      <w:b/>
      <w:bCs/>
      <w:sz w:val="20"/>
      <w:szCs w:val="24"/>
      <w:lang w:val="en-GB"/>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link w:val="Heading6"/>
    <w:rsid w:val="00E27C6D"/>
    <w:rPr>
      <w:rFonts w:ascii="Arial" w:eastAsia="Times New Roman" w:hAnsi="Arial" w:cs="Times New Roman"/>
      <w:i/>
      <w:snapToGrid w:val="0"/>
      <w:sz w:val="18"/>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Level 1.1 Char,71 Char,ExhibitTitle1 Char"/>
    <w:link w:val="Heading7"/>
    <w:rsid w:val="00E27C6D"/>
    <w:rPr>
      <w:rFonts w:ascii="Cambria" w:eastAsia="Times New Roman" w:hAnsi="Cambria" w:cs="Times New Roman"/>
      <w:i/>
      <w:iCs/>
      <w:color w:val="243F60"/>
      <w:sz w:val="20"/>
      <w:szCs w:val="20"/>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link w:val="Heading8"/>
    <w:rsid w:val="00E27C6D"/>
    <w:rPr>
      <w:rFonts w:ascii="Arial" w:eastAsia="Times New Roman" w:hAnsi="Arial" w:cs="Times New Roman"/>
      <w:i/>
      <w:sz w:val="18"/>
      <w:szCs w:val="20"/>
    </w:rPr>
  </w:style>
  <w:style w:type="character" w:customStyle="1" w:styleId="Heading9Char">
    <w:name w:val="Heading 9 Char"/>
    <w:aliases w:val="App Heading Char,Titre 10 Char,App1 Char,Legal Level 1.1.1.1. Char,9 Char,TableTitle Char,Cond'l Reqt. Char,rb Char,req bullet Char,req1 Char,tt Char,table title Char,TableText Char,heading 9 Char,l9 Char,h9 Char,appendix Char,91 Char"/>
    <w:link w:val="Heading9"/>
    <w:rsid w:val="00E27C6D"/>
    <w:rPr>
      <w:rFonts w:ascii="Arial" w:eastAsia="Times New Roman" w:hAnsi="Arial" w:cs="Times New Roman"/>
      <w:i/>
      <w:color w:val="FFFFFF"/>
      <w:sz w:val="18"/>
      <w:szCs w:val="20"/>
    </w:rPr>
  </w:style>
  <w:style w:type="paragraph" w:styleId="Index1">
    <w:name w:val="index 1"/>
    <w:basedOn w:val="Normal"/>
    <w:next w:val="Normal"/>
    <w:autoRedefine/>
    <w:rsid w:val="00E27C6D"/>
    <w:pPr>
      <w:widowControl/>
      <w:spacing w:before="0" w:after="100" w:afterAutospacing="1" w:line="240" w:lineRule="auto"/>
      <w:ind w:left="200" w:hanging="200"/>
    </w:pPr>
    <w:rPr>
      <w:rFonts w:eastAsia="Times New Roman" w:cs="Times New Roman"/>
    </w:rPr>
  </w:style>
  <w:style w:type="paragraph" w:styleId="Index2">
    <w:name w:val="index 2"/>
    <w:basedOn w:val="Normal"/>
    <w:next w:val="Normal"/>
    <w:autoRedefine/>
    <w:rsid w:val="00E27C6D"/>
    <w:pPr>
      <w:widowControl/>
      <w:spacing w:after="60"/>
      <w:jc w:val="both"/>
    </w:pPr>
    <w:rPr>
      <w:rFonts w:eastAsia="Times New Roman" w:cs="Times New Roman"/>
      <w:szCs w:val="24"/>
      <w:lang w:val="en-GB"/>
    </w:rPr>
  </w:style>
  <w:style w:type="paragraph" w:styleId="Index3">
    <w:name w:val="index 3"/>
    <w:basedOn w:val="Normal"/>
    <w:next w:val="Normal"/>
    <w:autoRedefine/>
    <w:rsid w:val="00E27C6D"/>
    <w:pPr>
      <w:widowControl/>
      <w:spacing w:before="0" w:after="100" w:afterAutospacing="1" w:line="240" w:lineRule="auto"/>
      <w:ind w:left="600" w:hanging="200"/>
    </w:pPr>
    <w:rPr>
      <w:rFonts w:eastAsia="Times New Roman" w:cs="Times New Roman"/>
    </w:rPr>
  </w:style>
  <w:style w:type="paragraph" w:styleId="Index4">
    <w:name w:val="index 4"/>
    <w:basedOn w:val="Normal"/>
    <w:next w:val="Normal"/>
    <w:autoRedefine/>
    <w:rsid w:val="00E27C6D"/>
    <w:pPr>
      <w:widowControl/>
      <w:spacing w:before="0" w:after="100" w:afterAutospacing="1" w:line="240" w:lineRule="auto"/>
      <w:ind w:left="800" w:hanging="200"/>
    </w:pPr>
    <w:rPr>
      <w:rFonts w:eastAsia="Times New Roman" w:cs="Times New Roman"/>
    </w:rPr>
  </w:style>
  <w:style w:type="paragraph" w:styleId="Index5">
    <w:name w:val="index 5"/>
    <w:basedOn w:val="Normal"/>
    <w:next w:val="Normal"/>
    <w:autoRedefine/>
    <w:rsid w:val="00E27C6D"/>
    <w:pPr>
      <w:widowControl/>
      <w:spacing w:before="0" w:after="100" w:afterAutospacing="1" w:line="240" w:lineRule="auto"/>
      <w:ind w:left="1000" w:hanging="200"/>
    </w:pPr>
    <w:rPr>
      <w:rFonts w:eastAsia="Times New Roman" w:cs="Times New Roman"/>
    </w:rPr>
  </w:style>
  <w:style w:type="paragraph" w:styleId="Index6">
    <w:name w:val="index 6"/>
    <w:basedOn w:val="Normal"/>
    <w:next w:val="Normal"/>
    <w:autoRedefine/>
    <w:rsid w:val="00E27C6D"/>
    <w:pPr>
      <w:widowControl/>
      <w:spacing w:before="0" w:after="100" w:afterAutospacing="1" w:line="240" w:lineRule="auto"/>
      <w:ind w:left="1200" w:hanging="200"/>
    </w:pPr>
    <w:rPr>
      <w:rFonts w:eastAsia="Times New Roman" w:cs="Times New Roman"/>
    </w:rPr>
  </w:style>
  <w:style w:type="paragraph" w:styleId="Index7">
    <w:name w:val="index 7"/>
    <w:basedOn w:val="Normal"/>
    <w:next w:val="Normal"/>
    <w:autoRedefine/>
    <w:rsid w:val="00E27C6D"/>
    <w:pPr>
      <w:widowControl/>
      <w:spacing w:before="0" w:after="100" w:afterAutospacing="1" w:line="240" w:lineRule="auto"/>
      <w:ind w:left="1400" w:hanging="200"/>
    </w:pPr>
    <w:rPr>
      <w:rFonts w:eastAsia="Times New Roman" w:cs="Times New Roman"/>
    </w:rPr>
  </w:style>
  <w:style w:type="paragraph" w:styleId="Index8">
    <w:name w:val="index 8"/>
    <w:basedOn w:val="Normal"/>
    <w:next w:val="Normal"/>
    <w:autoRedefine/>
    <w:rsid w:val="00E27C6D"/>
    <w:pPr>
      <w:widowControl/>
      <w:spacing w:before="0" w:after="100" w:afterAutospacing="1" w:line="240" w:lineRule="auto"/>
      <w:ind w:left="1600" w:hanging="200"/>
    </w:pPr>
    <w:rPr>
      <w:rFonts w:eastAsia="Times New Roman" w:cs="Times New Roman"/>
    </w:rPr>
  </w:style>
  <w:style w:type="paragraph" w:styleId="Index9">
    <w:name w:val="index 9"/>
    <w:basedOn w:val="Normal"/>
    <w:next w:val="Normal"/>
    <w:autoRedefine/>
    <w:rsid w:val="00E27C6D"/>
    <w:pPr>
      <w:widowControl/>
      <w:spacing w:before="0" w:after="100" w:afterAutospacing="1" w:line="240" w:lineRule="auto"/>
      <w:ind w:left="1800" w:hanging="200"/>
    </w:pPr>
    <w:rPr>
      <w:rFonts w:eastAsia="Times New Roman" w:cs="Times New Roman"/>
    </w:rPr>
  </w:style>
  <w:style w:type="paragraph" w:styleId="TOC4">
    <w:name w:val="toc 4"/>
    <w:basedOn w:val="TOC3"/>
    <w:autoRedefine/>
    <w:rsid w:val="00E27C6D"/>
    <w:pPr>
      <w:tabs>
        <w:tab w:val="right" w:leader="dot" w:pos="10214"/>
      </w:tabs>
      <w:spacing w:before="0" w:after="0" w:line="240" w:lineRule="auto"/>
      <w:ind w:left="601"/>
    </w:pPr>
    <w:rPr>
      <w:rFonts w:eastAsia="Times New Roman"/>
      <w:noProof/>
      <w:sz w:val="22"/>
    </w:rPr>
  </w:style>
  <w:style w:type="paragraph" w:styleId="TOC5">
    <w:name w:val="toc 5"/>
    <w:basedOn w:val="TOC4"/>
    <w:autoRedefine/>
    <w:rsid w:val="00E27C6D"/>
    <w:pPr>
      <w:ind w:left="799"/>
    </w:pPr>
  </w:style>
  <w:style w:type="paragraph" w:styleId="TOC6">
    <w:name w:val="toc 6"/>
    <w:basedOn w:val="TOC5"/>
    <w:autoRedefine/>
    <w:rsid w:val="00E27C6D"/>
    <w:pPr>
      <w:ind w:left="1000"/>
    </w:pPr>
  </w:style>
  <w:style w:type="paragraph" w:styleId="TOC7">
    <w:name w:val="toc 7"/>
    <w:basedOn w:val="Normal"/>
    <w:next w:val="Normal"/>
    <w:autoRedefine/>
    <w:rsid w:val="00E27C6D"/>
    <w:pPr>
      <w:widowControl/>
      <w:spacing w:before="0" w:after="0" w:line="240" w:lineRule="auto"/>
      <w:ind w:left="1202"/>
    </w:pPr>
    <w:rPr>
      <w:rFonts w:eastAsia="Times New Roman" w:cs="Times New Roman"/>
      <w:sz w:val="22"/>
    </w:rPr>
  </w:style>
  <w:style w:type="paragraph" w:styleId="TOC8">
    <w:name w:val="toc 8"/>
    <w:basedOn w:val="TOC7"/>
    <w:autoRedefine/>
    <w:rsid w:val="00E27C6D"/>
    <w:pPr>
      <w:ind w:left="1400"/>
    </w:pPr>
  </w:style>
  <w:style w:type="paragraph" w:styleId="TOC9">
    <w:name w:val="toc 9"/>
    <w:basedOn w:val="TOC8"/>
    <w:autoRedefine/>
    <w:rsid w:val="00E27C6D"/>
    <w:pPr>
      <w:ind w:left="1600"/>
    </w:p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Ch, Ch"/>
    <w:basedOn w:val="Normal"/>
    <w:rsid w:val="00E27C6D"/>
    <w:pPr>
      <w:widowControl/>
      <w:spacing w:before="0" w:line="240" w:lineRule="auto"/>
      <w:ind w:left="720"/>
      <w:jc w:val="both"/>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rsid w:val="00E27C6D"/>
    <w:pPr>
      <w:widowControl/>
      <w:spacing w:after="60"/>
      <w:jc w:val="both"/>
    </w:pPr>
    <w:rPr>
      <w:lang w:val="en-IE"/>
    </w:rPr>
  </w:style>
  <w:style w:type="character" w:customStyle="1" w:styleId="CommentTextChar">
    <w:name w:val="Comment Text Char"/>
    <w:link w:val="CommentText"/>
    <w:uiPriority w:val="99"/>
    <w:rsid w:val="00E27C6D"/>
    <w:rPr>
      <w:rFonts w:ascii="Arial" w:eastAsia="Calibri" w:hAnsi="Arial" w:cs="Arial"/>
      <w:sz w:val="20"/>
      <w:szCs w:val="20"/>
      <w:lang w:val="en-IE"/>
    </w:rPr>
  </w:style>
  <w:style w:type="paragraph" w:styleId="IndexHeading">
    <w:name w:val="index heading"/>
    <w:basedOn w:val="Normal"/>
    <w:next w:val="Index1"/>
    <w:rsid w:val="00E27C6D"/>
    <w:pPr>
      <w:widowControl/>
      <w:spacing w:before="0" w:after="100" w:afterAutospacing="1" w:line="240" w:lineRule="auto"/>
    </w:pPr>
    <w:rPr>
      <w:rFonts w:eastAsia="Times New Roman" w:cs="Times New Roman"/>
    </w:rPr>
  </w:style>
  <w:style w:type="paragraph" w:styleId="Caption">
    <w:name w:val="caption"/>
    <w:basedOn w:val="Normal"/>
    <w:next w:val="Normal"/>
    <w:uiPriority w:val="35"/>
    <w:unhideWhenUsed/>
    <w:qFormat/>
    <w:rsid w:val="00E27C6D"/>
    <w:pPr>
      <w:spacing w:before="0" w:after="200" w:line="240" w:lineRule="auto"/>
    </w:pPr>
    <w:rPr>
      <w:i/>
      <w:iCs/>
      <w:color w:val="1F497D"/>
      <w:sz w:val="18"/>
      <w:szCs w:val="18"/>
    </w:rPr>
  </w:style>
  <w:style w:type="character" w:styleId="CommentReference">
    <w:name w:val="annotation reference"/>
    <w:uiPriority w:val="99"/>
    <w:semiHidden/>
    <w:rsid w:val="00E27C6D"/>
    <w:rPr>
      <w:rFonts w:cs="Times New Roman"/>
      <w:sz w:val="16"/>
      <w:szCs w:val="16"/>
    </w:rPr>
  </w:style>
  <w:style w:type="paragraph" w:styleId="TOAHeading">
    <w:name w:val="toa heading"/>
    <w:basedOn w:val="Normal"/>
    <w:next w:val="Normal"/>
    <w:rsid w:val="00E27C6D"/>
    <w:pPr>
      <w:tabs>
        <w:tab w:val="right" w:pos="9360"/>
      </w:tabs>
      <w:suppressAutoHyphens/>
      <w:overflowPunct w:val="0"/>
      <w:autoSpaceDE w:val="0"/>
      <w:autoSpaceDN w:val="0"/>
      <w:adjustRightInd w:val="0"/>
      <w:spacing w:before="0" w:after="0" w:line="240" w:lineRule="auto"/>
      <w:textAlignment w:val="baseline"/>
    </w:pPr>
    <w:rPr>
      <w:rFonts w:ascii="Courier" w:eastAsia="Times New Roman" w:hAnsi="Courier" w:cs="Times New Roman"/>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rsid w:val="00E27C6D"/>
    <w:pPr>
      <w:widowControl/>
      <w:numPr>
        <w:numId w:val="4"/>
      </w:numPr>
      <w:spacing w:after="60"/>
      <w:jc w:val="both"/>
    </w:pPr>
    <w:rPr>
      <w:rFonts w:eastAsia="Times New Roman" w:cs="Times New Roman"/>
      <w:szCs w:val="24"/>
    </w:rPr>
  </w:style>
  <w:style w:type="paragraph" w:styleId="ListBullet2">
    <w:name w:val="List Bullet 2"/>
    <w:basedOn w:val="Normal"/>
    <w:rsid w:val="00E27C6D"/>
    <w:pPr>
      <w:widowControl/>
      <w:numPr>
        <w:numId w:val="5"/>
      </w:numPr>
      <w:spacing w:after="60"/>
      <w:jc w:val="both"/>
    </w:pPr>
    <w:rPr>
      <w:rFonts w:eastAsia="Times New Roman" w:cs="Times New Roman"/>
      <w:szCs w:val="24"/>
    </w:rPr>
  </w:style>
  <w:style w:type="paragraph" w:styleId="ListBullet3">
    <w:name w:val="List Bullet 3"/>
    <w:basedOn w:val="Normal"/>
    <w:rsid w:val="00E27C6D"/>
    <w:pPr>
      <w:widowControl/>
      <w:numPr>
        <w:numId w:val="6"/>
      </w:numPr>
      <w:spacing w:after="60"/>
      <w:jc w:val="both"/>
    </w:pPr>
    <w:rPr>
      <w:rFonts w:eastAsia="Times New Roman" w:cs="Times New Roman"/>
      <w:szCs w:val="24"/>
    </w:rPr>
  </w:style>
  <w:style w:type="paragraph" w:styleId="Signature">
    <w:name w:val="Signature"/>
    <w:basedOn w:val="Normal"/>
    <w:link w:val="SignatureChar"/>
    <w:rsid w:val="00E27C6D"/>
    <w:pPr>
      <w:widowControl/>
      <w:spacing w:before="0" w:after="100" w:afterAutospacing="1" w:line="240" w:lineRule="auto"/>
      <w:ind w:left="4252"/>
    </w:pPr>
    <w:rPr>
      <w:rFonts w:eastAsia="Times New Roman" w:cs="Times New Roman"/>
    </w:rPr>
  </w:style>
  <w:style w:type="character" w:customStyle="1" w:styleId="SignatureChar">
    <w:name w:val="Signature Char"/>
    <w:link w:val="Signature"/>
    <w:rsid w:val="00E27C6D"/>
    <w:rPr>
      <w:rFonts w:ascii="Arial" w:eastAsia="Times New Roman" w:hAnsi="Arial" w:cs="Times New Roman"/>
      <w:sz w:val="20"/>
      <w:szCs w:val="20"/>
    </w:rPr>
  </w:style>
  <w:style w:type="character" w:customStyle="1" w:styleId="BodyTextChar">
    <w:name w:val="Body Text Char"/>
    <w:aliases w:val="Body Text Char Char Char Char Char Char Char Char Char Char Char Char Char,Body Text Char Char Char Char Char Char Char Char Char Char Char Char Char Char Char Char Char,Body Text1 Char,Body Text1 Char Char Char Char Char Char Char,b Char"/>
    <w:link w:val="BodyText"/>
    <w:rsid w:val="00E27C6D"/>
    <w:rPr>
      <w:rFonts w:ascii="Arial Narrow" w:eastAsia="Arial Narrow" w:hAnsi="Arial Narrow" w:cs="Arial"/>
      <w:b/>
      <w:bCs/>
      <w:sz w:val="54"/>
      <w:szCs w:val="54"/>
    </w:rPr>
  </w:style>
  <w:style w:type="paragraph" w:styleId="BodyTextIndent">
    <w:name w:val="Body Text Indent"/>
    <w:basedOn w:val="Normal"/>
    <w:link w:val="BodyTextIndentChar"/>
    <w:rsid w:val="00E27C6D"/>
    <w:pPr>
      <w:widowControl/>
      <w:spacing w:before="0"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link w:val="BodyTextIndent"/>
    <w:rsid w:val="00E27C6D"/>
    <w:rPr>
      <w:rFonts w:ascii="Times New Roman" w:eastAsia="Times New Roman" w:hAnsi="Times New Roman" w:cs="Times New Roman"/>
      <w:sz w:val="24"/>
      <w:szCs w:val="24"/>
      <w:lang w:val="en-GB"/>
    </w:rPr>
  </w:style>
  <w:style w:type="paragraph" w:styleId="Date">
    <w:name w:val="Date"/>
    <w:basedOn w:val="Normal"/>
    <w:next w:val="Normal"/>
    <w:link w:val="DateChar"/>
    <w:rsid w:val="00E27C6D"/>
    <w:pPr>
      <w:widowControl/>
      <w:spacing w:before="0" w:after="0" w:afterAutospacing="1" w:line="240" w:lineRule="auto"/>
    </w:pPr>
    <w:rPr>
      <w:rFonts w:eastAsia="Times New Roman" w:cs="Times New Roman"/>
      <w:sz w:val="24"/>
      <w:szCs w:val="24"/>
      <w:lang w:val="en-GB" w:eastAsia="en-IE"/>
    </w:rPr>
  </w:style>
  <w:style w:type="character" w:customStyle="1" w:styleId="DateChar">
    <w:name w:val="Date Char"/>
    <w:link w:val="Date"/>
    <w:rsid w:val="00E27C6D"/>
    <w:rPr>
      <w:rFonts w:ascii="Arial" w:eastAsia="Times New Roman" w:hAnsi="Arial" w:cs="Times New Roman"/>
      <w:sz w:val="24"/>
      <w:szCs w:val="24"/>
      <w:lang w:val="en-GB" w:eastAsia="en-IE"/>
    </w:rPr>
  </w:style>
  <w:style w:type="paragraph" w:styleId="BodyTextFirstIndent">
    <w:name w:val="Body Text First Indent"/>
    <w:basedOn w:val="BodyText"/>
    <w:link w:val="BodyTextFirstIndentChar"/>
    <w:rsid w:val="00E27C6D"/>
    <w:pPr>
      <w:widowControl/>
      <w:spacing w:before="60" w:after="120"/>
      <w:ind w:left="0" w:firstLine="210"/>
      <w:jc w:val="both"/>
    </w:pPr>
    <w:rPr>
      <w:rFonts w:ascii="Arial" w:eastAsia="Times New Roman" w:hAnsi="Arial" w:cs="Times New Roman"/>
      <w:b w:val="0"/>
      <w:bCs w:val="0"/>
      <w:sz w:val="20"/>
      <w:szCs w:val="24"/>
      <w:lang w:val="en-GB"/>
    </w:rPr>
  </w:style>
  <w:style w:type="character" w:customStyle="1" w:styleId="BodyTextFirstIndentChar">
    <w:name w:val="Body Text First Indent Char"/>
    <w:link w:val="BodyTextFirstIndent"/>
    <w:rsid w:val="00E27C6D"/>
    <w:rPr>
      <w:rFonts w:ascii="Arial" w:eastAsia="Times New Roman" w:hAnsi="Arial" w:cs="Times New Roman"/>
      <w:sz w:val="20"/>
      <w:szCs w:val="24"/>
      <w:lang w:val="en-GB"/>
    </w:rPr>
  </w:style>
  <w:style w:type="paragraph" w:styleId="BodyTextFirstIndent2">
    <w:name w:val="Body Text First Indent 2"/>
    <w:basedOn w:val="BodyTextIndent"/>
    <w:link w:val="BodyTextFirstIndent2Char"/>
    <w:rsid w:val="00E27C6D"/>
    <w:pPr>
      <w:spacing w:before="60" w:line="288" w:lineRule="auto"/>
      <w:ind w:firstLine="210"/>
      <w:jc w:val="both"/>
    </w:pPr>
    <w:rPr>
      <w:rFonts w:ascii="Arial" w:hAnsi="Arial"/>
      <w:sz w:val="20"/>
    </w:rPr>
  </w:style>
  <w:style w:type="character" w:customStyle="1" w:styleId="BodyTextFirstIndent2Char">
    <w:name w:val="Body Text First Indent 2 Char"/>
    <w:link w:val="BodyTextFirstIndent2"/>
    <w:rsid w:val="00E27C6D"/>
    <w:rPr>
      <w:rFonts w:ascii="Arial" w:eastAsia="Times New Roman" w:hAnsi="Arial" w:cs="Times New Roman"/>
      <w:sz w:val="20"/>
      <w:szCs w:val="24"/>
      <w:lang w:val="en-GB"/>
    </w:rPr>
  </w:style>
  <w:style w:type="paragraph" w:styleId="BodyText2">
    <w:name w:val="Body Text 2"/>
    <w:basedOn w:val="Normal"/>
    <w:link w:val="BodyText2Char"/>
    <w:rsid w:val="00E27C6D"/>
    <w:pPr>
      <w:widowControl/>
      <w:spacing w:before="20" w:after="20"/>
      <w:ind w:left="1440"/>
      <w:jc w:val="both"/>
    </w:pPr>
    <w:rPr>
      <w:rFonts w:eastAsia="Times New Roman" w:cs="Times New Roman"/>
      <w:szCs w:val="24"/>
      <w:lang w:val="en-GB"/>
    </w:rPr>
  </w:style>
  <w:style w:type="character" w:customStyle="1" w:styleId="BodyText2Char">
    <w:name w:val="Body Text 2 Char"/>
    <w:link w:val="BodyText2"/>
    <w:rsid w:val="00E27C6D"/>
    <w:rPr>
      <w:rFonts w:ascii="Arial" w:eastAsia="Times New Roman" w:hAnsi="Arial" w:cs="Times New Roman"/>
      <w:sz w:val="20"/>
      <w:szCs w:val="24"/>
      <w:lang w:val="en-GB"/>
    </w:rPr>
  </w:style>
  <w:style w:type="paragraph" w:styleId="BodyText3">
    <w:name w:val="Body Text 3"/>
    <w:basedOn w:val="Normal"/>
    <w:link w:val="BodyText3Char"/>
    <w:rsid w:val="00E27C6D"/>
    <w:pPr>
      <w:widowControl/>
      <w:contextualSpacing/>
      <w:jc w:val="both"/>
    </w:pPr>
    <w:rPr>
      <w:rFonts w:eastAsia="Times New Roman" w:cs="Times New Roman"/>
      <w:lang w:val="en-GB"/>
    </w:rPr>
  </w:style>
  <w:style w:type="character" w:customStyle="1" w:styleId="BodyText3Char">
    <w:name w:val="Body Text 3 Char"/>
    <w:link w:val="BodyText3"/>
    <w:rsid w:val="00E27C6D"/>
    <w:rPr>
      <w:rFonts w:ascii="Arial" w:eastAsia="Times New Roman" w:hAnsi="Arial" w:cs="Times New Roman"/>
      <w:sz w:val="20"/>
      <w:szCs w:val="20"/>
      <w:lang w:val="en-GB"/>
    </w:rPr>
  </w:style>
  <w:style w:type="paragraph" w:styleId="BodyTextIndent2">
    <w:name w:val="Body Text Indent 2"/>
    <w:basedOn w:val="Normal"/>
    <w:link w:val="BodyTextIndent2Char"/>
    <w:rsid w:val="00E27C6D"/>
    <w:pPr>
      <w:widowControl/>
      <w:spacing w:after="120" w:line="480" w:lineRule="auto"/>
      <w:ind w:left="283"/>
      <w:jc w:val="both"/>
    </w:pPr>
    <w:rPr>
      <w:rFonts w:eastAsia="Times New Roman" w:cs="Times New Roman"/>
      <w:szCs w:val="24"/>
      <w:lang w:val="en-GB"/>
    </w:rPr>
  </w:style>
  <w:style w:type="character" w:customStyle="1" w:styleId="BodyTextIndent2Char">
    <w:name w:val="Body Text Indent 2 Char"/>
    <w:link w:val="BodyTextIndent2"/>
    <w:rsid w:val="00E27C6D"/>
    <w:rPr>
      <w:rFonts w:ascii="Arial" w:eastAsia="Times New Roman" w:hAnsi="Arial" w:cs="Times New Roman"/>
      <w:sz w:val="20"/>
      <w:szCs w:val="24"/>
      <w:lang w:val="en-GB"/>
    </w:rPr>
  </w:style>
  <w:style w:type="paragraph" w:styleId="BodyTextIndent3">
    <w:name w:val="Body Text Indent 3"/>
    <w:basedOn w:val="Normal"/>
    <w:link w:val="BodyTextIndent3Char"/>
    <w:rsid w:val="00E27C6D"/>
    <w:pPr>
      <w:keepLines/>
      <w:widowControl/>
      <w:spacing w:before="0" w:after="240" w:line="264" w:lineRule="auto"/>
      <w:ind w:left="142"/>
      <w:jc w:val="both"/>
    </w:pPr>
    <w:rPr>
      <w:rFonts w:ascii="Times New Roman" w:eastAsia="Times New Roman" w:hAnsi="Times New Roman" w:cs="Times New Roman"/>
      <w:sz w:val="22"/>
      <w:lang w:val="en-GB"/>
    </w:rPr>
  </w:style>
  <w:style w:type="character" w:customStyle="1" w:styleId="BodyTextIndent3Char">
    <w:name w:val="Body Text Indent 3 Char"/>
    <w:link w:val="BodyTextIndent3"/>
    <w:rsid w:val="00E27C6D"/>
    <w:rPr>
      <w:rFonts w:ascii="Times New Roman" w:eastAsia="Times New Roman" w:hAnsi="Times New Roman" w:cs="Times New Roman"/>
      <w:szCs w:val="20"/>
      <w:lang w:val="en-GB"/>
    </w:rPr>
  </w:style>
  <w:style w:type="paragraph" w:styleId="BlockText">
    <w:name w:val="Block Text"/>
    <w:basedOn w:val="Normal"/>
    <w:rsid w:val="00E27C6D"/>
    <w:pPr>
      <w:widowControl/>
      <w:spacing w:after="120"/>
      <w:ind w:left="1440" w:right="1440"/>
      <w:jc w:val="both"/>
    </w:pPr>
    <w:rPr>
      <w:rFonts w:eastAsia="Times New Roman" w:cs="Times New Roman"/>
      <w:szCs w:val="24"/>
      <w:lang w:val="en-GB"/>
    </w:rPr>
  </w:style>
  <w:style w:type="paragraph" w:styleId="DocumentMap">
    <w:name w:val="Document Map"/>
    <w:basedOn w:val="Normal"/>
    <w:link w:val="DocumentMapChar"/>
    <w:rsid w:val="00E27C6D"/>
    <w:pPr>
      <w:widowControl/>
      <w:shd w:val="clear" w:color="auto" w:fill="000080"/>
      <w:spacing w:after="60"/>
      <w:jc w:val="both"/>
    </w:pPr>
    <w:rPr>
      <w:rFonts w:ascii="Tahoma" w:eastAsia="Times New Roman" w:hAnsi="Tahoma" w:cs="Tahoma"/>
      <w:lang w:val="en-GB"/>
    </w:rPr>
  </w:style>
  <w:style w:type="character" w:customStyle="1" w:styleId="DocumentMapChar">
    <w:name w:val="Document Map Char"/>
    <w:link w:val="DocumentMap"/>
    <w:rsid w:val="00E27C6D"/>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unhideWhenUsed/>
    <w:rsid w:val="00E27C6D"/>
    <w:pPr>
      <w:widowControl/>
      <w:spacing w:before="0" w:after="0" w:line="240" w:lineRule="auto"/>
    </w:pPr>
    <w:rPr>
      <w:rFonts w:ascii="Calibri" w:hAnsi="Calibri" w:cstheme="minorBidi"/>
      <w:sz w:val="22"/>
      <w:szCs w:val="21"/>
      <w:lang w:val="en-GB"/>
    </w:rPr>
  </w:style>
  <w:style w:type="character" w:customStyle="1" w:styleId="PlainTextChar">
    <w:name w:val="Plain Text Char"/>
    <w:link w:val="PlainText"/>
    <w:uiPriority w:val="99"/>
    <w:rsid w:val="00E27C6D"/>
    <w:rPr>
      <w:rFonts w:ascii="Calibri" w:eastAsia="Calibri" w:hAnsi="Calibri"/>
      <w:szCs w:val="21"/>
      <w:lang w:val="en-GB"/>
    </w:rPr>
  </w:style>
  <w:style w:type="paragraph" w:styleId="NormalWeb">
    <w:name w:val="Normal (Web)"/>
    <w:basedOn w:val="Normal"/>
    <w:uiPriority w:val="99"/>
    <w:rsid w:val="00E27C6D"/>
    <w:pPr>
      <w:widowControl/>
      <w:spacing w:before="0" w:after="0"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rsid w:val="00E27C6D"/>
    <w:pPr>
      <w:widowControl/>
      <w:spacing w:before="0"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link w:val="HTMLAddress"/>
    <w:rsid w:val="00E27C6D"/>
    <w:rPr>
      <w:rFonts w:ascii="Times New Roman" w:eastAsia="Times New Roman" w:hAnsi="Times New Roman" w:cs="Times New Roman"/>
      <w:i/>
      <w:iCs/>
      <w:sz w:val="24"/>
      <w:szCs w:val="24"/>
      <w:lang w:val="en-GB" w:eastAsia="en-GB"/>
    </w:rPr>
  </w:style>
  <w:style w:type="character" w:styleId="HTMLCite">
    <w:name w:val="HTML Cite"/>
    <w:rsid w:val="00E27C6D"/>
    <w:rPr>
      <w:rFonts w:ascii="Verdana" w:hAnsi="Verdana"/>
      <w:i/>
      <w:iCs/>
    </w:rPr>
  </w:style>
  <w:style w:type="paragraph" w:styleId="CommentSubject">
    <w:name w:val="annotation subject"/>
    <w:basedOn w:val="CommentText"/>
    <w:next w:val="CommentText"/>
    <w:link w:val="CommentSubjectChar"/>
    <w:uiPriority w:val="99"/>
    <w:semiHidden/>
    <w:unhideWhenUsed/>
    <w:rsid w:val="00E27C6D"/>
    <w:pPr>
      <w:widowControl w:val="0"/>
      <w:spacing w:after="180" w:line="240" w:lineRule="auto"/>
      <w:jc w:val="left"/>
    </w:pPr>
    <w:rPr>
      <w:b/>
      <w:bCs/>
      <w:lang w:val="en-US"/>
    </w:rPr>
  </w:style>
  <w:style w:type="character" w:customStyle="1" w:styleId="CommentSubjectChar">
    <w:name w:val="Comment Subject Char"/>
    <w:link w:val="CommentSubject"/>
    <w:uiPriority w:val="99"/>
    <w:semiHidden/>
    <w:rsid w:val="00E27C6D"/>
    <w:rPr>
      <w:rFonts w:ascii="Arial" w:eastAsia="Calibri" w:hAnsi="Arial" w:cs="Arial"/>
      <w:b/>
      <w:bCs/>
      <w:sz w:val="20"/>
      <w:szCs w:val="20"/>
    </w:rPr>
  </w:style>
  <w:style w:type="paragraph" w:styleId="BalloonText">
    <w:name w:val="Balloon Text"/>
    <w:basedOn w:val="Normal"/>
    <w:link w:val="BalloonTextChar"/>
    <w:uiPriority w:val="99"/>
    <w:semiHidden/>
    <w:unhideWhenUsed/>
    <w:rsid w:val="00E27C6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C6D"/>
    <w:rPr>
      <w:rFonts w:ascii="Segoe UI" w:eastAsia="Calibri" w:hAnsi="Segoe UI" w:cs="Segoe UI"/>
      <w:sz w:val="18"/>
      <w:szCs w:val="18"/>
    </w:rPr>
  </w:style>
  <w:style w:type="table" w:customStyle="1" w:styleId="PlainTable31">
    <w:name w:val="Plain Table 31"/>
    <w:basedOn w:val="TableNormal"/>
    <w:uiPriority w:val="43"/>
    <w:rsid w:val="00E27C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41">
    <w:name w:val="Grid Table 4 - Accent 41"/>
    <w:basedOn w:val="TableNormal"/>
    <w:uiPriority w:val="49"/>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3-Accent61">
    <w:name w:val="Grid Table 3 - Accent 6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customStyle="1" w:styleId="Disclaimer">
    <w:name w:val="Disclaimer"/>
    <w:basedOn w:val="Normal"/>
    <w:autoRedefine/>
    <w:uiPriority w:val="1"/>
    <w:qFormat/>
    <w:rsid w:val="00E27C6D"/>
    <w:pPr>
      <w:spacing w:after="60"/>
      <w:contextualSpacing/>
      <w:jc w:val="both"/>
    </w:pPr>
    <w:rPr>
      <w:color w:val="7F7F7F"/>
      <w:sz w:val="18"/>
    </w:rPr>
  </w:style>
  <w:style w:type="paragraph" w:customStyle="1" w:styleId="TableHeading">
    <w:name w:val="Table Heading"/>
    <w:basedOn w:val="Normal"/>
    <w:link w:val="TableHeadingChar"/>
    <w:qFormat/>
    <w:rsid w:val="00481F33"/>
    <w:pPr>
      <w:widowControl/>
      <w:jc w:val="both"/>
    </w:pPr>
    <w:rPr>
      <w:rFonts w:eastAsiaTheme="minorHAnsi"/>
      <w:bCs/>
      <w:noProof/>
      <w:color w:val="FFFFFF" w:themeColor="background1"/>
      <w:szCs w:val="22"/>
      <w:lang w:val="en-IE" w:eastAsia="ar-SA"/>
    </w:rPr>
  </w:style>
  <w:style w:type="character" w:customStyle="1" w:styleId="TableHeadingChar">
    <w:name w:val="Table Heading Char"/>
    <w:basedOn w:val="DefaultParagraphFont"/>
    <w:link w:val="TableHeading"/>
    <w:rsid w:val="00481F33"/>
    <w:rPr>
      <w:rFonts w:ascii="Arial" w:hAnsi="Arial" w:cs="Arial"/>
      <w:bCs/>
      <w:noProof/>
      <w:color w:val="FFFFFF" w:themeColor="background1"/>
      <w:sz w:val="20"/>
      <w:lang w:val="en-IE" w:eastAsia="ar-SA"/>
    </w:rPr>
  </w:style>
  <w:style w:type="paragraph" w:customStyle="1" w:styleId="TableBoldnarrow">
    <w:name w:val="Table Bold narrow"/>
    <w:basedOn w:val="Normal"/>
    <w:link w:val="TableBoldnarrowChar"/>
    <w:autoRedefine/>
    <w:uiPriority w:val="1"/>
    <w:rsid w:val="00843881"/>
    <w:pPr>
      <w:widowControl/>
    </w:pPr>
    <w:rPr>
      <w:rFonts w:ascii="Arial Narrow" w:eastAsia="Times New Roman" w:hAnsi="Arial Narrow"/>
      <w:b/>
      <w:szCs w:val="24"/>
      <w:lang w:val="en-GB"/>
    </w:rPr>
  </w:style>
  <w:style w:type="character" w:customStyle="1" w:styleId="TableBoldnarrowChar">
    <w:name w:val="Table Bold narrow Char"/>
    <w:basedOn w:val="DefaultParagraphFont"/>
    <w:link w:val="TableBoldnarrow"/>
    <w:uiPriority w:val="1"/>
    <w:rsid w:val="00843881"/>
    <w:rPr>
      <w:rFonts w:ascii="Arial Narrow" w:eastAsia="Times New Roman" w:hAnsi="Arial Narrow" w:cs="Arial"/>
      <w:b/>
      <w:sz w:val="20"/>
      <w:szCs w:val="24"/>
      <w:lang w:val="en-GB"/>
    </w:rPr>
  </w:style>
  <w:style w:type="paragraph" w:customStyle="1" w:styleId="TableHeaderNarrow">
    <w:name w:val="Table Header Narrow"/>
    <w:basedOn w:val="TableHeading"/>
    <w:link w:val="TableHeaderNarrowChar"/>
    <w:autoRedefine/>
    <w:uiPriority w:val="1"/>
    <w:rsid w:val="00843881"/>
    <w:pPr>
      <w:jc w:val="center"/>
    </w:pPr>
    <w:rPr>
      <w:rFonts w:ascii="Arial Narrow" w:hAnsi="Arial Narrow"/>
    </w:rPr>
  </w:style>
  <w:style w:type="character" w:customStyle="1" w:styleId="TableHeaderNarrowChar">
    <w:name w:val="Table Header Narrow Char"/>
    <w:basedOn w:val="TableHeadingChar"/>
    <w:link w:val="TableHeaderNarrow"/>
    <w:uiPriority w:val="1"/>
    <w:rsid w:val="00843881"/>
    <w:rPr>
      <w:rFonts w:ascii="Arial Narrow" w:hAnsi="Arial Narrow" w:cs="Arial"/>
      <w:b w:val="0"/>
      <w:bCs/>
      <w:noProof/>
      <w:color w:val="FFFFFF" w:themeColor="background1"/>
      <w:sz w:val="20"/>
      <w:lang w:val="en-IE" w:eastAsia="ar-SA"/>
    </w:rPr>
  </w:style>
  <w:style w:type="paragraph" w:customStyle="1" w:styleId="BoldBodyText">
    <w:name w:val="Bold Body Text"/>
    <w:basedOn w:val="Normal"/>
    <w:uiPriority w:val="1"/>
    <w:rsid w:val="00D24DB2"/>
  </w:style>
  <w:style w:type="paragraph" w:customStyle="1" w:styleId="Heading1Numb">
    <w:name w:val="Heading 1Numb"/>
    <w:basedOn w:val="Heading1"/>
    <w:next w:val="Normal"/>
    <w:uiPriority w:val="7"/>
    <w:qFormat/>
    <w:rsid w:val="00481F33"/>
    <w:pPr>
      <w:tabs>
        <w:tab w:val="clear" w:pos="567"/>
        <w:tab w:val="num" w:pos="0"/>
      </w:tabs>
      <w:ind w:hanging="1134"/>
    </w:p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1 Char"/>
    <w:basedOn w:val="DefaultParagraphFont"/>
    <w:link w:val="ListParagraph"/>
    <w:uiPriority w:val="34"/>
    <w:locked/>
    <w:rsid w:val="00D53262"/>
    <w:rPr>
      <w:rFonts w:ascii="Arial" w:eastAsia="Calibri" w:hAnsi="Arial" w:cs="Arial"/>
      <w:sz w:val="24"/>
      <w:szCs w:val="20"/>
    </w:rPr>
  </w:style>
  <w:style w:type="paragraph" w:customStyle="1" w:styleId="Style4">
    <w:name w:val="Style4"/>
    <w:basedOn w:val="Heading1"/>
    <w:link w:val="Style4Char"/>
    <w:uiPriority w:val="1"/>
    <w:rsid w:val="00231AAC"/>
  </w:style>
  <w:style w:type="character" w:customStyle="1" w:styleId="Style4Char">
    <w:name w:val="Style4 Char"/>
    <w:basedOn w:val="Heading1Char1"/>
    <w:link w:val="Style4"/>
    <w:uiPriority w:val="1"/>
    <w:rsid w:val="00231AAC"/>
    <w:rPr>
      <w:rFonts w:ascii="Arial" w:eastAsiaTheme="majorEastAsia" w:hAnsi="Arial" w:cstheme="majorBidi"/>
      <w:bCs/>
      <w:caps/>
      <w:color w:val="3F9C35"/>
      <w:sz w:val="40"/>
      <w:szCs w:val="28"/>
      <w:lang w:val="en-GB"/>
    </w:rPr>
  </w:style>
  <w:style w:type="paragraph" w:customStyle="1" w:styleId="BodyText-parastylebold">
    <w:name w:val="Body Text - para style bold"/>
    <w:basedOn w:val="BodyText-parastyle"/>
    <w:autoRedefine/>
    <w:qFormat/>
    <w:rsid w:val="00423075"/>
    <w:pPr>
      <w:keepNext/>
      <w:jc w:val="both"/>
    </w:pPr>
    <w:rPr>
      <w:rFonts w:cs="Times New Roman"/>
      <w:b/>
      <w:szCs w:val="24"/>
    </w:rPr>
  </w:style>
  <w:style w:type="character" w:customStyle="1" w:styleId="Mention1">
    <w:name w:val="Mention1"/>
    <w:basedOn w:val="DefaultParagraphFont"/>
    <w:uiPriority w:val="99"/>
    <w:semiHidden/>
    <w:unhideWhenUsed/>
    <w:rsid w:val="002D2BBC"/>
    <w:rPr>
      <w:color w:val="2B579A"/>
      <w:shd w:val="clear" w:color="auto" w:fill="E6E6E6"/>
    </w:rPr>
  </w:style>
  <w:style w:type="paragraph" w:customStyle="1" w:styleId="Default">
    <w:name w:val="Default"/>
    <w:rsid w:val="00CC1A9F"/>
    <w:pPr>
      <w:widowControl/>
      <w:autoSpaceDE w:val="0"/>
      <w:autoSpaceDN w:val="0"/>
      <w:adjustRightInd w:val="0"/>
    </w:pPr>
    <w:rPr>
      <w:rFonts w:ascii="Calibri" w:hAnsi="Calibri" w:cs="Calibri"/>
      <w:color w:val="000000"/>
      <w:sz w:val="24"/>
      <w:szCs w:val="24"/>
      <w:lang w:val="en-GB"/>
    </w:rPr>
  </w:style>
  <w:style w:type="table" w:customStyle="1" w:styleId="PlainTable51">
    <w:name w:val="Plain Table 51"/>
    <w:basedOn w:val="TableNormal"/>
    <w:uiPriority w:val="45"/>
    <w:rsid w:val="00CC1A9F"/>
    <w:pPr>
      <w:widowControl/>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CC1A9F"/>
    <w:pPr>
      <w:widowControl/>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fasTableGrid1">
    <w:name w:val="Forfas Table Grid1"/>
    <w:basedOn w:val="TableNormal"/>
    <w:next w:val="TableGrid"/>
    <w:uiPriority w:val="39"/>
    <w:rsid w:val="00901782"/>
    <w:pPr>
      <w:widowControl/>
    </w:pPr>
    <w:rPr>
      <w:rFonts w:ascii="Arial" w:eastAsia="Calibri" w:hAnsi="Arial" w:cs="Times New Roman"/>
      <w:sz w:val="20"/>
      <w:szCs w:val="20"/>
      <w:lang w:val="en-GB"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shd w:val="clear" w:color="auto" w:fill="009CDE"/>
      </w:tcPr>
    </w:tblStylePr>
    <w:tblStylePr w:type="la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666A"/>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BodyText-italics">
    <w:name w:val="Body Text - italics"/>
    <w:basedOn w:val="Normal"/>
    <w:autoRedefine/>
    <w:qFormat/>
    <w:rsid w:val="00423075"/>
    <w:pPr>
      <w:widowControl/>
      <w:jc w:val="both"/>
    </w:pPr>
    <w:rPr>
      <w:rFonts w:eastAsia="Times New Roman"/>
      <w:sz w:val="24"/>
      <w:szCs w:val="24"/>
      <w:lang w:val="en-IE"/>
    </w:rPr>
  </w:style>
  <w:style w:type="paragraph" w:styleId="Revision">
    <w:name w:val="Revision"/>
    <w:hidden/>
    <w:uiPriority w:val="99"/>
    <w:semiHidden/>
    <w:rsid w:val="002E5326"/>
    <w:pPr>
      <w:widowControl/>
    </w:pPr>
    <w:rPr>
      <w:rFonts w:ascii="Arial" w:eastAsia="Calibri" w:hAnsi="Arial" w:cs="Arial"/>
      <w:sz w:val="20"/>
      <w:szCs w:val="20"/>
    </w:rPr>
  </w:style>
  <w:style w:type="character" w:customStyle="1" w:styleId="FootnoteTextChar2">
    <w:name w:val="Footnote Text Char2"/>
    <w:aliases w:val="Footnote Char1,FOOTNOTES Char1,Footnote Text Char1 Char1,Footnote Text Char Char Char1,Footnote Text Char1 Char Char Char Char1,Footnote Text Char Char Char Char Char Char1,Footnote Text1 Char Char Char Char1,fn Char1,o Char1"/>
    <w:uiPriority w:val="99"/>
    <w:locked/>
    <w:rsid w:val="0051334C"/>
    <w:rPr>
      <w:rFonts w:ascii="Arial" w:eastAsia="Times New Roman" w:hAnsi="Arial"/>
      <w:sz w:val="20"/>
    </w:rPr>
  </w:style>
  <w:style w:type="paragraph" w:customStyle="1" w:styleId="QuestionHeader2">
    <w:name w:val="Question Header 2"/>
    <w:basedOn w:val="Normal"/>
    <w:uiPriority w:val="99"/>
    <w:rsid w:val="00BC0114"/>
    <w:pPr>
      <w:widowControl/>
      <w:tabs>
        <w:tab w:val="num" w:pos="792"/>
      </w:tabs>
      <w:spacing w:before="0" w:after="0" w:line="240" w:lineRule="auto"/>
      <w:ind w:left="792" w:hanging="432"/>
    </w:pPr>
    <w:rPr>
      <w:rFonts w:ascii="Times New Roman" w:eastAsia="Times New Roman" w:hAnsi="Times New Roman" w:cs="Times New Roman"/>
      <w:sz w:val="24"/>
      <w:szCs w:val="24"/>
      <w:lang w:val="en-GB"/>
    </w:rPr>
  </w:style>
  <w:style w:type="paragraph" w:customStyle="1" w:styleId="bodytext-parastyle0">
    <w:name w:val="bodytext-parastyle"/>
    <w:basedOn w:val="Normal"/>
    <w:uiPriority w:val="99"/>
    <w:rsid w:val="00CC7DAD"/>
    <w:pPr>
      <w:widowControl/>
      <w:jc w:val="both"/>
    </w:pPr>
    <w:rPr>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index heading" w:uiPriority="0"/>
    <w:lsdException w:name="caption" w:uiPriority="35" w:qFormat="1"/>
    <w:lsdException w:name="footnote reference" w:qFormat="1"/>
    <w:lsdException w:name="page number" w:uiPriority="0"/>
    <w:lsdException w:name="toa heading" w:uiPriority="0"/>
    <w:lsdException w:name="List Bullet" w:uiPriority="0"/>
    <w:lsdException w:name="List Bullet 2" w:uiPriority="0"/>
    <w:lsdException w:name="List Bullet 3" w:uiPriority="0"/>
    <w:lsdException w:name="Title" w:semiHidden="0" w:uiPriority="10" w:unhideWhenUsed="0"/>
    <w:lsdException w:name="Signature" w:uiPriority="0"/>
    <w:lsdException w:name="Default Paragraph Font" w:uiPriority="1"/>
    <w:lsdException w:name="Body Text" w:uiPriority="1"/>
    <w:lsdException w:name="Body Text Indent" w:uiPriority="0"/>
    <w:lsdException w:name="Subtitle" w:semiHidden="0" w:uiPriority="11" w:unhideWhenUsed="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Cite"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27C6D"/>
    <w:pPr>
      <w:spacing w:before="60" w:after="180" w:line="288" w:lineRule="auto"/>
    </w:pPr>
    <w:rPr>
      <w:rFonts w:ascii="Arial" w:eastAsia="Calibri" w:hAnsi="Arial" w:cs="Arial"/>
      <w:sz w:val="20"/>
      <w:szCs w:val="20"/>
    </w:rPr>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Pro,heading 1"/>
    <w:basedOn w:val="Normal"/>
    <w:next w:val="Normal"/>
    <w:link w:val="Heading1Char1"/>
    <w:autoRedefine/>
    <w:qFormat/>
    <w:rsid w:val="00BD70F6"/>
    <w:pPr>
      <w:keepNext/>
      <w:keepLines/>
      <w:pageBreakBefore/>
      <w:widowControl/>
      <w:numPr>
        <w:numId w:val="3"/>
      </w:numPr>
      <w:tabs>
        <w:tab w:val="clear" w:pos="720"/>
        <w:tab w:val="num" w:pos="567"/>
      </w:tabs>
      <w:spacing w:before="0" w:after="240" w:line="240" w:lineRule="atLeast"/>
      <w:ind w:left="567" w:hanging="567"/>
      <w:outlineLvl w:val="0"/>
    </w:pPr>
    <w:rPr>
      <w:rFonts w:eastAsiaTheme="majorEastAsia" w:cstheme="majorBidi"/>
      <w:bCs/>
      <w:caps/>
      <w:color w:val="3F9C35"/>
      <w:sz w:val="40"/>
      <w:szCs w:val="28"/>
      <w:lang w:val="en-GB"/>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1"/>
    <w:qFormat/>
    <w:rsid w:val="00BD70F6"/>
    <w:pPr>
      <w:keepNext/>
      <w:widowControl/>
      <w:numPr>
        <w:ilvl w:val="1"/>
        <w:numId w:val="3"/>
      </w:numPr>
      <w:tabs>
        <w:tab w:val="clear" w:pos="3349"/>
        <w:tab w:val="num" w:pos="567"/>
      </w:tabs>
      <w:spacing w:before="240" w:after="240"/>
      <w:ind w:left="567" w:hanging="567"/>
      <w:outlineLvl w:val="1"/>
    </w:pPr>
    <w:rPr>
      <w:rFonts w:eastAsia="Times New Roman"/>
      <w:bCs/>
      <w:iCs/>
      <w:color w:val="63666A"/>
      <w:sz w:val="28"/>
      <w:szCs w:val="28"/>
      <w:lang w:val="en-GB" w:eastAsia="en-GB"/>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List - 1,2,1"/>
    <w:basedOn w:val="Normal"/>
    <w:next w:val="Normal"/>
    <w:link w:val="Heading3Char"/>
    <w:autoRedefine/>
    <w:qFormat/>
    <w:rsid w:val="00D465F1"/>
    <w:pPr>
      <w:keepNext/>
      <w:widowControl/>
      <w:numPr>
        <w:ilvl w:val="2"/>
        <w:numId w:val="1"/>
      </w:numPr>
      <w:spacing w:before="240" w:after="240"/>
      <w:ind w:left="567" w:hanging="567"/>
      <w:outlineLvl w:val="2"/>
    </w:pPr>
    <w:rPr>
      <w:rFonts w:eastAsia="Times New Roman"/>
      <w:b/>
      <w:bCs/>
      <w:color w:val="009CDE"/>
      <w:sz w:val="24"/>
      <w:lang w:val="en-GB" w:eastAsia="en-GB"/>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PAR"/>
    <w:basedOn w:val="Normal"/>
    <w:next w:val="Normal"/>
    <w:link w:val="Heading4Char"/>
    <w:autoRedefine/>
    <w:qFormat/>
    <w:rsid w:val="00D24DB2"/>
    <w:pPr>
      <w:keepNext/>
      <w:widowControl/>
      <w:numPr>
        <w:ilvl w:val="3"/>
        <w:numId w:val="3"/>
      </w:numPr>
      <w:spacing w:before="240" w:after="240"/>
      <w:ind w:left="851" w:hanging="851"/>
      <w:outlineLvl w:val="3"/>
    </w:pPr>
    <w:rPr>
      <w:rFonts w:eastAsia="Times New Roman"/>
      <w:b/>
      <w:bCs/>
      <w:sz w:val="22"/>
      <w:lang w:val="en-GB" w:eastAsia="en-GB"/>
    </w:rPr>
  </w:style>
  <w:style w:type="paragraph" w:styleId="Heading5">
    <w:name w:val="heading 5"/>
    <w:aliases w:val="Roman list,Appendix A to X,Heading 5   Appendix A to X,Block Label,h5,Heading5,5 sub-bullet,sb,H5-Heading 5,l5,heading5,heading 5,tcs,tablecaps,hd5,i) ii) iii),Heading 5(unused),H5,Para5,Schedule A to X,Heading 5-1,sub-bullet,H5-Heading 5&#10;"/>
    <w:basedOn w:val="Normal"/>
    <w:next w:val="Normal"/>
    <w:link w:val="Heading5Char"/>
    <w:rsid w:val="00E27C6D"/>
    <w:pPr>
      <w:keepNext/>
      <w:widowControl/>
      <w:tabs>
        <w:tab w:val="left" w:pos="480"/>
        <w:tab w:val="left" w:pos="960"/>
      </w:tabs>
      <w:spacing w:before="0" w:after="0" w:line="360" w:lineRule="auto"/>
      <w:ind w:left="1008" w:hanging="1008"/>
      <w:jc w:val="both"/>
      <w:outlineLvl w:val="4"/>
    </w:pPr>
    <w:rPr>
      <w:rFonts w:ascii="Univers" w:eastAsia="Times New Roman" w:hAnsi="Univers" w:cs="Times New Roman"/>
      <w:b/>
      <w:bCs/>
      <w:szCs w:val="24"/>
      <w:lang w:val="en-GB"/>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H64"/>
    <w:next w:val="Normal"/>
    <w:link w:val="Heading6Char"/>
    <w:rsid w:val="00E27C6D"/>
    <w:pPr>
      <w:keepNext/>
      <w:framePr w:hSpace="187" w:vSpace="187" w:wrap="notBeside" w:vAnchor="text" w:hAnchor="text" w:y="1"/>
      <w:widowControl/>
      <w:spacing w:before="60" w:after="120"/>
      <w:ind w:left="1152" w:hanging="1152"/>
      <w:outlineLvl w:val="5"/>
    </w:pPr>
    <w:rPr>
      <w:rFonts w:ascii="Arial" w:eastAsia="Times New Roman" w:hAnsi="Arial" w:cs="Times New Roman"/>
      <w:i/>
      <w:snapToGrid w:val="0"/>
      <w:sz w:val="18"/>
      <w:szCs w:val="20"/>
    </w:rPr>
  </w:style>
  <w:style w:type="paragraph" w:styleId="Heading7">
    <w:name w:val="heading 7"/>
    <w:aliases w:val="letter list,lettered list,h7,Heading7,7,Objective,ExhibitTitle,heading7,req3,st,SDL title,heading 7,hd7,fcs,figurecaps,Level 1.1,71,ExhibitTitle1,st1,Objective1,heading71,req31,72,ExhibitTitle2,st2,Objective2,heading72,req32,711,ExhibitTitle11"/>
    <w:basedOn w:val="Normal"/>
    <w:next w:val="Normal"/>
    <w:link w:val="Heading7Char"/>
    <w:unhideWhenUsed/>
    <w:rsid w:val="00E27C6D"/>
    <w:pPr>
      <w:keepNext/>
      <w:keepLines/>
      <w:spacing w:before="40" w:after="0"/>
      <w:outlineLvl w:val="6"/>
    </w:pPr>
    <w:rPr>
      <w:rFonts w:ascii="Cambria" w:eastAsia="Times New Roman" w:hAnsi="Cambria" w:cs="Times New Roman"/>
      <w:i/>
      <w:iCs/>
      <w:color w:val="243F60"/>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req211"/>
    <w:next w:val="Normal"/>
    <w:link w:val="Heading8Char"/>
    <w:rsid w:val="00E27C6D"/>
    <w:pPr>
      <w:keepNext/>
      <w:widowControl/>
      <w:spacing w:before="60" w:after="120"/>
      <w:ind w:left="1440" w:hanging="1440"/>
      <w:outlineLvl w:val="7"/>
    </w:pPr>
    <w:rPr>
      <w:rFonts w:ascii="Arial" w:eastAsia="Times New Roman" w:hAnsi="Arial" w:cs="Times New Roman"/>
      <w:i/>
      <w:sz w:val="18"/>
      <w:szCs w:val="20"/>
    </w:rPr>
  </w:style>
  <w:style w:type="paragraph" w:styleId="Heading9">
    <w:name w:val="heading 9"/>
    <w:aliases w:val="App Heading,Titre 10,App1,Legal Level 1.1.1.1.,9,TableTitle,Cond'l Reqt.,rb,req bullet,req1,tt,table title,TableText,heading 9,l9,h9,appendix,91,TableTitle1,Cond'l Reqt.1,rb1,req bullet1,req11,92,TableTitle2,Cond'l Reqt.2,rb2,req12"/>
    <w:next w:val="Normal"/>
    <w:link w:val="Heading9Char"/>
    <w:rsid w:val="00E27C6D"/>
    <w:pPr>
      <w:keepNext/>
      <w:widowControl/>
      <w:spacing w:before="60" w:after="120"/>
      <w:ind w:left="1584" w:hanging="1584"/>
      <w:outlineLvl w:val="8"/>
    </w:pPr>
    <w:rPr>
      <w:rFonts w:ascii="Arial" w:eastAsia="Times New Roman" w:hAnsi="Arial" w:cs="Times New Roman"/>
      <w:i/>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ody Text1 Char Char Char,bt,b"/>
    <w:basedOn w:val="Normal"/>
    <w:link w:val="BodyTextChar"/>
    <w:uiPriority w:val="1"/>
    <w:rsid w:val="00E27C6D"/>
    <w:pPr>
      <w:spacing w:before="38"/>
      <w:ind w:left="6140"/>
    </w:pPr>
    <w:rPr>
      <w:rFonts w:ascii="Arial Narrow" w:eastAsia="Arial Narrow" w:hAnsi="Arial Narrow"/>
      <w:b/>
      <w:bCs/>
      <w:sz w:val="54"/>
      <w:szCs w:val="54"/>
    </w:rPr>
  </w:style>
  <w:style w:type="paragraph" w:styleId="ListParagraph">
    <w:name w:val="List Paragraph"/>
    <w:aliases w:val="Bullet,Number,F5 List Paragraph,List Paragraph1,Dot pt,No Spacing1,List Paragraph Char Char Char,Indicator Text,Colorful List - Accent 11,Numbered Para 1,Bullet 1,Bullet Points,MAIN CONTENT,List Paragraph2,Normal numbered,List Paragraph11"/>
    <w:basedOn w:val="Normal"/>
    <w:link w:val="ListParagraphChar"/>
    <w:autoRedefine/>
    <w:uiPriority w:val="34"/>
    <w:qFormat/>
    <w:rsid w:val="00D53262"/>
    <w:pPr>
      <w:widowControl/>
      <w:numPr>
        <w:numId w:val="2"/>
      </w:numPr>
      <w:spacing w:after="120"/>
      <w:ind w:left="357" w:hanging="357"/>
      <w:contextualSpacing/>
      <w:jc w:val="both"/>
    </w:pPr>
    <w:rPr>
      <w:sz w:val="24"/>
    </w:rPr>
  </w:style>
  <w:style w:type="paragraph" w:customStyle="1" w:styleId="TableParagraph">
    <w:name w:val="Table Paragraph"/>
    <w:basedOn w:val="Normal"/>
    <w:link w:val="TableParagraphChar"/>
    <w:uiPriority w:val="1"/>
    <w:qFormat/>
    <w:rsid w:val="00125738"/>
    <w:pPr>
      <w:widowControl/>
      <w:spacing w:after="60"/>
    </w:pPr>
    <w:rPr>
      <w:lang w:val="en" w:eastAsia="en-GB"/>
    </w:rPr>
  </w:style>
  <w:style w:type="paragraph" w:styleId="Header">
    <w:name w:val="header"/>
    <w:aliases w:val="hd"/>
    <w:basedOn w:val="Normal"/>
    <w:link w:val="HeaderChar"/>
    <w:uiPriority w:val="99"/>
    <w:unhideWhenUsed/>
    <w:rsid w:val="00E27C6D"/>
    <w:pPr>
      <w:tabs>
        <w:tab w:val="center" w:pos="4513"/>
        <w:tab w:val="right" w:pos="9026"/>
      </w:tabs>
    </w:pPr>
  </w:style>
  <w:style w:type="character" w:customStyle="1" w:styleId="HeaderChar">
    <w:name w:val="Header Char"/>
    <w:aliases w:val="hd Char"/>
    <w:link w:val="Header"/>
    <w:uiPriority w:val="99"/>
    <w:rsid w:val="00E27C6D"/>
    <w:rPr>
      <w:rFonts w:ascii="Arial" w:eastAsia="Calibri" w:hAnsi="Arial" w:cs="Arial"/>
      <w:sz w:val="20"/>
      <w:szCs w:val="20"/>
    </w:rPr>
  </w:style>
  <w:style w:type="paragraph" w:styleId="Footer">
    <w:name w:val="footer"/>
    <w:aliases w:val="ft,footer odd,footer,Footer1"/>
    <w:basedOn w:val="Normal"/>
    <w:link w:val="FooterChar"/>
    <w:uiPriority w:val="99"/>
    <w:unhideWhenUsed/>
    <w:rsid w:val="00E27C6D"/>
    <w:pPr>
      <w:tabs>
        <w:tab w:val="center" w:pos="4513"/>
        <w:tab w:val="right" w:pos="9026"/>
      </w:tabs>
    </w:pPr>
  </w:style>
  <w:style w:type="character" w:customStyle="1" w:styleId="FooterChar">
    <w:name w:val="Footer Char"/>
    <w:aliases w:val="ft Char,footer odd Char,footer Char,Footer1 Char"/>
    <w:link w:val="Footer"/>
    <w:uiPriority w:val="99"/>
    <w:rsid w:val="00E27C6D"/>
    <w:rPr>
      <w:rFonts w:ascii="Arial" w:eastAsia="Calibri" w:hAnsi="Arial" w:cs="Arial"/>
      <w:sz w:val="20"/>
      <w:szCs w:val="20"/>
    </w:rPr>
  </w:style>
  <w:style w:type="character" w:styleId="Hyperlink">
    <w:name w:val="Hyperlink"/>
    <w:uiPriority w:val="99"/>
    <w:rsid w:val="00E27C6D"/>
    <w:rPr>
      <w:color w:val="0000FF"/>
      <w:u w:val="single"/>
    </w:rPr>
  </w:style>
  <w:style w:type="paragraph" w:styleId="TOC1">
    <w:name w:val="toc 1"/>
    <w:basedOn w:val="Normal"/>
    <w:next w:val="Normal"/>
    <w:uiPriority w:val="39"/>
    <w:rsid w:val="00E27C6D"/>
    <w:pPr>
      <w:widowControl/>
      <w:spacing w:before="120" w:after="120"/>
      <w:jc w:val="both"/>
    </w:pPr>
    <w:rPr>
      <w:rFonts w:eastAsia="Times New Roman"/>
      <w:b/>
      <w:bCs/>
      <w:caps/>
      <w:color w:val="16365D"/>
      <w:lang w:val="en-IE"/>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f"/>
    <w:basedOn w:val="Normal"/>
    <w:link w:val="FootnoteTextChar"/>
    <w:autoRedefine/>
    <w:unhideWhenUsed/>
    <w:qFormat/>
    <w:rsid w:val="00B33715"/>
    <w:pPr>
      <w:contextualSpacing/>
    </w:pPr>
    <w:rPr>
      <w:sz w:val="18"/>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f Char"/>
    <w:link w:val="FootnoteText"/>
    <w:rsid w:val="00B33715"/>
    <w:rPr>
      <w:rFonts w:ascii="Arial" w:eastAsia="Calibri" w:hAnsi="Arial" w:cs="Arial"/>
      <w:sz w:val="18"/>
      <w:szCs w:val="20"/>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u"/>
    <w:uiPriority w:val="99"/>
    <w:unhideWhenUsed/>
    <w:qFormat/>
    <w:rsid w:val="00E27C6D"/>
    <w:rPr>
      <w:vertAlign w:val="superscript"/>
    </w:rPr>
  </w:style>
  <w:style w:type="character" w:customStyle="1" w:styleId="Heading1Char">
    <w:name w:val="Heading 1 Char"/>
    <w:uiPriority w:val="9"/>
    <w:rsid w:val="00E27C6D"/>
    <w:rPr>
      <w:rFonts w:ascii="Cambria" w:eastAsiaTheme="majorEastAsia" w:hAnsi="Cambria" w:cstheme="majorBidi"/>
      <w:color w:val="365F91"/>
      <w:sz w:val="32"/>
      <w:szCs w:val="32"/>
    </w:rPr>
  </w:style>
  <w:style w:type="character" w:customStyle="1" w:styleId="Heading2Char">
    <w:name w:val="Heading 2 Char"/>
    <w:aliases w:val="A.B.C. Char,Heading2-bio Char,Career Exp. Char Char Char Char,Career Exp. Char Char Char Char Char Char,Oscar Faber 2 Char,level 1 subhead Char,Para Nos Char,Major Char,Paragraph Char,H2 Cha"/>
    <w:uiPriority w:val="9"/>
    <w:rsid w:val="00E27C6D"/>
    <w:rPr>
      <w:rFonts w:ascii="Cambria" w:eastAsiaTheme="majorEastAsia" w:hAnsi="Cambria" w:cstheme="majorBidi"/>
      <w:color w:val="365F91"/>
      <w:sz w:val="26"/>
      <w:szCs w:val="26"/>
    </w:rPr>
  </w:style>
  <w:style w:type="character" w:customStyle="1" w:styleId="Heading3Char">
    <w:name w:val="Heading 3 Char"/>
    <w:aliases w:val="Minor Char1,Oscar Faber 3 Char,Apx par Char,Outline3 Char,Mi Char,Headline Char,Minor Char Char1,Minor Char Char Char Char,Minor Char Char Char1,Heading 3HEADING Char,sh3 Char,Heading 14 Char,Proposa Char,ASAPHeading 3 Char,Subhead C Char"/>
    <w:link w:val="Heading3"/>
    <w:rsid w:val="00D465F1"/>
    <w:rPr>
      <w:rFonts w:ascii="Arial" w:eastAsia="Times New Roman" w:hAnsi="Arial" w:cs="Arial"/>
      <w:b/>
      <w:bCs/>
      <w:color w:val="009CDE"/>
      <w:sz w:val="24"/>
      <w:szCs w:val="20"/>
      <w:lang w:val="en-GB" w:eastAsia="en-GB"/>
    </w:rPr>
  </w:style>
  <w:style w:type="character" w:customStyle="1" w:styleId="Heading4Char">
    <w:name w:val="Heading 4 Char"/>
    <w:aliases w:val="Te Char,Req Char,Heading_Numbered_4 Char,H4 Char,Sub-Minor Char,Project table Char,Propos Char,Level 2 - a Char,Bullet 11 Char,Bullet 12 Char,Bullet 13 Char,Bullet 14 Char,Bullet 15 Char,Bullet 16 Char,h4 Char,Map Title Char,dash Char"/>
    <w:link w:val="Heading4"/>
    <w:rsid w:val="00D24DB2"/>
    <w:rPr>
      <w:rFonts w:ascii="Arial" w:eastAsia="Times New Roman" w:hAnsi="Arial" w:cs="Arial"/>
      <w:b/>
      <w:bCs/>
      <w:szCs w:val="20"/>
      <w:lang w:val="en-GB" w:eastAsia="en-GB"/>
    </w:rPr>
  </w:style>
  <w:style w:type="paragraph" w:customStyle="1" w:styleId="BodyText-parastyle">
    <w:name w:val="Body Text - para style"/>
    <w:basedOn w:val="BodyText"/>
    <w:link w:val="BodyText-parastyleChar"/>
    <w:autoRedefine/>
    <w:qFormat/>
    <w:rsid w:val="00AE785D"/>
    <w:pPr>
      <w:widowControl/>
      <w:spacing w:before="60"/>
      <w:ind w:left="0"/>
    </w:pPr>
    <w:rPr>
      <w:rFonts w:ascii="Arial" w:eastAsia="Times New Roman" w:hAnsi="Arial"/>
      <w:b w:val="0"/>
      <w:bCs w:val="0"/>
      <w:sz w:val="24"/>
      <w:szCs w:val="20"/>
      <w:lang w:val="en-GB" w:eastAsia="en-GB"/>
    </w:rPr>
  </w:style>
  <w:style w:type="character" w:customStyle="1" w:styleId="BodyText-parastyleChar">
    <w:name w:val="Body Text - para style Char"/>
    <w:link w:val="BodyText-parastyle"/>
    <w:rsid w:val="00AE785D"/>
    <w:rPr>
      <w:rFonts w:ascii="Arial" w:eastAsia="Times New Roman" w:hAnsi="Arial" w:cs="Arial"/>
      <w:sz w:val="24"/>
      <w:szCs w:val="20"/>
      <w:lang w:val="en-GB" w:eastAsia="en-GB"/>
    </w:rPr>
  </w:style>
  <w:style w:type="character" w:customStyle="1" w:styleId="Heading1Char1">
    <w:name w:val="Heading 1 Char1"/>
    <w:aliases w:val="chapter heading Char1,Chapter Hdg Char1,Section Char1,Section Heading Char,Outline1 Char,Oscar Faber 1 Char1,chapter heading Char Char,Chapter Hdg Char Char,Section Char Char,Oscar Faber 1 Char Char,Heading 1 Char1 Char Char,H1 Char"/>
    <w:link w:val="Heading1"/>
    <w:locked/>
    <w:rsid w:val="00BD70F6"/>
    <w:rPr>
      <w:rFonts w:ascii="Arial" w:eastAsiaTheme="majorEastAsia" w:hAnsi="Arial" w:cstheme="majorBidi"/>
      <w:bCs/>
      <w:caps/>
      <w:color w:val="3F9C35"/>
      <w:sz w:val="40"/>
      <w:szCs w:val="28"/>
      <w:lang w:val="en-GB"/>
    </w:rPr>
  </w:style>
  <w:style w:type="character" w:customStyle="1" w:styleId="Heading2Char1">
    <w:name w:val="Heading 2 Char1"/>
    <w:aliases w:val="KJL:1st Level Char,Reset numbering Char,PARA2 Char,S Heading Char,S Heading 2 Char,h2 Char,Number... Char,Numbered - 2 Char,1.1.1 heading Char,m Char,Body Text (Reset numbering) Char,H2 Char,TF-Overskrit 2 Char,h2 main heading Char"/>
    <w:link w:val="Heading2"/>
    <w:locked/>
    <w:rsid w:val="00BD70F6"/>
    <w:rPr>
      <w:rFonts w:ascii="Arial" w:eastAsia="Times New Roman" w:hAnsi="Arial" w:cs="Arial"/>
      <w:bCs/>
      <w:iCs/>
      <w:color w:val="63666A"/>
      <w:sz w:val="28"/>
      <w:szCs w:val="28"/>
      <w:lang w:val="en-GB" w:eastAsia="en-GB"/>
    </w:rPr>
  </w:style>
  <w:style w:type="paragraph" w:styleId="TOC2">
    <w:name w:val="toc 2"/>
    <w:basedOn w:val="Normal"/>
    <w:next w:val="Normal"/>
    <w:autoRedefine/>
    <w:uiPriority w:val="39"/>
    <w:unhideWhenUsed/>
    <w:rsid w:val="00E27C6D"/>
    <w:pPr>
      <w:tabs>
        <w:tab w:val="left" w:pos="880"/>
        <w:tab w:val="right" w:leader="dot" w:pos="9637"/>
      </w:tabs>
      <w:spacing w:after="100"/>
      <w:ind w:left="220" w:firstLine="206"/>
    </w:pPr>
    <w:rPr>
      <w:color w:val="7F7F7F"/>
    </w:rPr>
  </w:style>
  <w:style w:type="paragraph" w:styleId="TOCHeading">
    <w:name w:val="TOC Heading"/>
    <w:basedOn w:val="Heading1"/>
    <w:next w:val="Normal"/>
    <w:uiPriority w:val="39"/>
    <w:unhideWhenUsed/>
    <w:qFormat/>
    <w:rsid w:val="00E27C6D"/>
    <w:pPr>
      <w:pageBreakBefore w:val="0"/>
      <w:numPr>
        <w:numId w:val="0"/>
      </w:numPr>
      <w:spacing w:after="0" w:line="259" w:lineRule="auto"/>
      <w:outlineLvl w:val="9"/>
    </w:pPr>
    <w:rPr>
      <w:rFonts w:ascii="Cambria" w:hAnsi="Cambria"/>
      <w:b/>
      <w:bCs w:val="0"/>
      <w:color w:val="365F91"/>
      <w:sz w:val="32"/>
      <w:szCs w:val="32"/>
      <w:lang w:val="en-US"/>
    </w:rPr>
  </w:style>
  <w:style w:type="paragraph" w:styleId="TOC3">
    <w:name w:val="toc 3"/>
    <w:basedOn w:val="Normal"/>
    <w:next w:val="Normal"/>
    <w:autoRedefine/>
    <w:uiPriority w:val="39"/>
    <w:unhideWhenUsed/>
    <w:rsid w:val="00E27C6D"/>
    <w:pPr>
      <w:widowControl/>
      <w:spacing w:after="100" w:line="259" w:lineRule="auto"/>
      <w:ind w:left="440"/>
    </w:pPr>
    <w:rPr>
      <w:rFonts w:eastAsiaTheme="minorEastAsia" w:cs="Times New Roman"/>
    </w:rPr>
  </w:style>
  <w:style w:type="paragraph" w:styleId="IntenseQuote">
    <w:name w:val="Intense Quote"/>
    <w:aliases w:val="Table caption"/>
    <w:basedOn w:val="Normal"/>
    <w:next w:val="Normal"/>
    <w:link w:val="IntenseQuoteChar"/>
    <w:autoRedefine/>
    <w:uiPriority w:val="30"/>
    <w:qFormat/>
    <w:rsid w:val="00CD4614"/>
    <w:pPr>
      <w:pBdr>
        <w:top w:val="single" w:sz="4" w:space="3" w:color="009CDE"/>
        <w:bottom w:val="single" w:sz="4" w:space="3" w:color="009CDE"/>
      </w:pBdr>
      <w:spacing w:before="360" w:after="360"/>
      <w:ind w:left="864" w:right="140" w:hanging="864"/>
    </w:pPr>
    <w:rPr>
      <w:b/>
      <w:iCs/>
      <w:color w:val="009CDE"/>
      <w:sz w:val="22"/>
      <w:lang w:val="en" w:eastAsia="en-GB"/>
    </w:rPr>
  </w:style>
  <w:style w:type="character" w:customStyle="1" w:styleId="IntenseQuoteChar">
    <w:name w:val="Intense Quote Char"/>
    <w:aliases w:val="Table caption Char"/>
    <w:link w:val="IntenseQuote"/>
    <w:uiPriority w:val="30"/>
    <w:rsid w:val="00CD4614"/>
    <w:rPr>
      <w:rFonts w:ascii="Arial" w:eastAsia="Calibri" w:hAnsi="Arial" w:cs="Arial"/>
      <w:b/>
      <w:iCs/>
      <w:color w:val="009CDE"/>
      <w:szCs w:val="20"/>
      <w:lang w:val="en" w:eastAsia="en-GB"/>
    </w:rPr>
  </w:style>
  <w:style w:type="paragraph" w:styleId="Quote">
    <w:name w:val="Quote"/>
    <w:aliases w:val="Source"/>
    <w:basedOn w:val="Normal"/>
    <w:next w:val="Normal"/>
    <w:link w:val="QuoteChar"/>
    <w:autoRedefine/>
    <w:uiPriority w:val="29"/>
    <w:qFormat/>
    <w:rsid w:val="00C1662B"/>
    <w:pPr>
      <w:spacing w:before="0" w:after="240" w:line="240" w:lineRule="atLeast"/>
      <w:ind w:right="862"/>
    </w:pPr>
    <w:rPr>
      <w:i/>
      <w:iCs/>
      <w:color w:val="404040"/>
    </w:rPr>
  </w:style>
  <w:style w:type="character" w:customStyle="1" w:styleId="QuoteChar">
    <w:name w:val="Quote Char"/>
    <w:aliases w:val="Source Char"/>
    <w:link w:val="Quote"/>
    <w:uiPriority w:val="29"/>
    <w:rsid w:val="00C1662B"/>
    <w:rPr>
      <w:rFonts w:ascii="Arial" w:eastAsia="Calibri" w:hAnsi="Arial" w:cs="Arial"/>
      <w:i/>
      <w:iCs/>
      <w:color w:val="404040"/>
      <w:sz w:val="20"/>
      <w:szCs w:val="20"/>
    </w:rPr>
  </w:style>
  <w:style w:type="paragraph" w:customStyle="1" w:styleId="Tablefigures">
    <w:name w:val="Table figures"/>
    <w:basedOn w:val="Normal"/>
    <w:uiPriority w:val="1"/>
    <w:qFormat/>
    <w:rsid w:val="00E27C6D"/>
    <w:pPr>
      <w:framePr w:hSpace="180" w:wrap="around" w:vAnchor="text" w:hAnchor="margin" w:x="108" w:y="15"/>
      <w:widowControl/>
      <w:spacing w:after="60"/>
      <w:jc w:val="right"/>
    </w:pPr>
    <w:rPr>
      <w:rFonts w:eastAsia="Times New Roman"/>
      <w:color w:val="000000"/>
      <w:lang w:val="en-GB" w:eastAsia="en-GB"/>
    </w:rPr>
  </w:style>
  <w:style w:type="character" w:styleId="Strong">
    <w:name w:val="Strong"/>
    <w:aliases w:val="Body Text Bold"/>
    <w:uiPriority w:val="22"/>
    <w:qFormat/>
    <w:rsid w:val="005624F0"/>
    <w:rPr>
      <w:rFonts w:ascii="Arial" w:hAnsi="Arial"/>
      <w:b/>
      <w:sz w:val="24"/>
    </w:rPr>
  </w:style>
  <w:style w:type="paragraph" w:customStyle="1" w:styleId="-bullet">
    <w:name w:val="- bullet"/>
    <w:basedOn w:val="ListParagraph"/>
    <w:autoRedefine/>
    <w:qFormat/>
    <w:rsid w:val="00771CC1"/>
    <w:pPr>
      <w:numPr>
        <w:numId w:val="7"/>
      </w:numPr>
      <w:ind w:left="714" w:hanging="357"/>
    </w:pPr>
    <w:rPr>
      <w:rFonts w:eastAsia="Times New Roman" w:cs="Times New Roman"/>
      <w:lang w:val="en-GB" w:eastAsia="en-GB"/>
    </w:rPr>
  </w:style>
  <w:style w:type="paragraph" w:customStyle="1" w:styleId="TableHeadings">
    <w:name w:val="Table Headings"/>
    <w:basedOn w:val="Normal"/>
    <w:link w:val="TableHeadingsChar"/>
    <w:autoRedefine/>
    <w:uiPriority w:val="1"/>
    <w:qFormat/>
    <w:rsid w:val="00B5200D"/>
    <w:pPr>
      <w:keepNext/>
      <w:keepLines/>
      <w:framePr w:hSpace="180" w:wrap="around" w:vAnchor="text" w:hAnchor="margin" w:x="108" w:y="15"/>
      <w:spacing w:after="60"/>
      <w:jc w:val="center"/>
    </w:pPr>
    <w:rPr>
      <w:rFonts w:eastAsiaTheme="minorHAnsi"/>
      <w:b/>
      <w:szCs w:val="22"/>
    </w:rPr>
  </w:style>
  <w:style w:type="table" w:styleId="TableGrid">
    <w:name w:val="Table Grid"/>
    <w:aliases w:val="Table for documents,Forfas Table Grid"/>
    <w:basedOn w:val="TableNormal"/>
    <w:rsid w:val="0085543C"/>
    <w:pPr>
      <w:widowControl/>
    </w:pPr>
    <w:rPr>
      <w:rFonts w:ascii="Arial" w:eastAsia="Calibri" w:hAnsi="Arial" w:cs="Times New Roman"/>
      <w:sz w:val="20"/>
      <w:szCs w:val="20"/>
      <w:lang w:val="en-GB"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shd w:val="clear" w:color="auto" w:fill="009CDE"/>
      </w:tcPr>
    </w:tblStylePr>
    <w:tblStylePr w:type="la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666A"/>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TableHeadingsChar">
    <w:name w:val="Table Headings Char"/>
    <w:link w:val="TableHeadings"/>
    <w:uiPriority w:val="1"/>
    <w:rsid w:val="00B5200D"/>
    <w:rPr>
      <w:rFonts w:ascii="Arial" w:hAnsi="Arial" w:cs="Arial"/>
      <w:b/>
      <w:sz w:val="20"/>
    </w:rPr>
  </w:style>
  <w:style w:type="character" w:styleId="SubtleEmphasis">
    <w:name w:val="Subtle Emphasis"/>
    <w:uiPriority w:val="19"/>
    <w:rsid w:val="00E27C6D"/>
    <w:rPr>
      <w:i/>
      <w:iCs/>
      <w:color w:val="404040"/>
    </w:rPr>
  </w:style>
  <w:style w:type="paragraph" w:styleId="Title">
    <w:name w:val="Title"/>
    <w:aliases w:val="Date title"/>
    <w:basedOn w:val="Normal"/>
    <w:next w:val="Normal"/>
    <w:link w:val="TitleChar"/>
    <w:uiPriority w:val="10"/>
    <w:rsid w:val="00E27C6D"/>
    <w:pPr>
      <w:spacing w:before="0"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aliases w:val="Date title Char"/>
    <w:link w:val="Title"/>
    <w:uiPriority w:val="10"/>
    <w:rsid w:val="00E27C6D"/>
    <w:rPr>
      <w:rFonts w:ascii="Cambria" w:eastAsiaTheme="majorEastAsia" w:hAnsi="Cambria" w:cstheme="majorBidi"/>
      <w:spacing w:val="-10"/>
      <w:kern w:val="28"/>
      <w:sz w:val="56"/>
      <w:szCs w:val="56"/>
    </w:rPr>
  </w:style>
  <w:style w:type="character" w:styleId="BookTitle">
    <w:name w:val="Book Title"/>
    <w:aliases w:val="Report title"/>
    <w:uiPriority w:val="33"/>
    <w:qFormat/>
    <w:rsid w:val="00E27C6D"/>
    <w:rPr>
      <w:b/>
      <w:bCs/>
      <w:i/>
      <w:iCs/>
      <w:spacing w:val="5"/>
    </w:rPr>
  </w:style>
  <w:style w:type="paragraph" w:styleId="NoSpacing">
    <w:name w:val="No Spacing"/>
    <w:uiPriority w:val="1"/>
    <w:qFormat/>
    <w:rsid w:val="00E27C6D"/>
    <w:rPr>
      <w:rFonts w:ascii="Arial" w:eastAsia="Calibri" w:hAnsi="Arial" w:cs="Arial"/>
      <w:sz w:val="20"/>
      <w:szCs w:val="20"/>
    </w:rPr>
  </w:style>
  <w:style w:type="character" w:styleId="IntenseReference">
    <w:name w:val="Intense Reference"/>
    <w:uiPriority w:val="32"/>
    <w:qFormat/>
    <w:rsid w:val="00E27C6D"/>
    <w:rPr>
      <w:b/>
      <w:bCs/>
      <w:smallCaps/>
      <w:color w:val="4F81BD"/>
      <w:spacing w:val="5"/>
    </w:rPr>
  </w:style>
  <w:style w:type="table" w:customStyle="1" w:styleId="Style1">
    <w:name w:val="Style1"/>
    <w:basedOn w:val="TableNormal"/>
    <w:uiPriority w:val="99"/>
    <w:rsid w:val="00E27C6D"/>
    <w:pPr>
      <w:widowControl/>
    </w:pPr>
    <w:rPr>
      <w:rFonts w:ascii="Calibri" w:eastAsia="Calibri" w:hAnsi="Calibri" w:cs="Times New Roman"/>
      <w:sz w:val="20"/>
      <w:szCs w:val="20"/>
      <w:lang w:val="en-GB" w:eastAsia="en-GB"/>
    </w:rPr>
    <w:tblPr/>
  </w:style>
  <w:style w:type="character" w:styleId="FollowedHyperlink">
    <w:name w:val="FollowedHyperlink"/>
    <w:uiPriority w:val="99"/>
    <w:unhideWhenUsed/>
    <w:rsid w:val="00E27C6D"/>
    <w:rPr>
      <w:color w:val="800080"/>
      <w:u w:val="single"/>
    </w:rPr>
  </w:style>
  <w:style w:type="table" w:customStyle="1" w:styleId="Style2">
    <w:name w:val="Style2"/>
    <w:basedOn w:val="TableNormal"/>
    <w:uiPriority w:val="99"/>
    <w:rsid w:val="00E27C6D"/>
    <w:pPr>
      <w:widowControl/>
    </w:pPr>
    <w:rPr>
      <w:rFonts w:ascii="Calibri" w:eastAsia="Calibri" w:hAnsi="Calibri" w:cs="Times New Roman"/>
      <w:sz w:val="20"/>
      <w:szCs w:val="20"/>
      <w:lang w:val="en-GB" w:eastAsia="en-GB"/>
    </w:rPr>
    <w:tblPr/>
  </w:style>
  <w:style w:type="table" w:customStyle="1" w:styleId="GridTable4-Accent11">
    <w:name w:val="Grid Table 4 - Accent 11"/>
    <w:aliases w:val="table report"/>
    <w:basedOn w:val="TableTheme"/>
    <w:uiPriority w:val="49"/>
    <w:rsid w:val="00E27C6D"/>
    <w:rPr>
      <w:rFonts w:ascii="Arial" w:hAnsi="Arial"/>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pPr>
        <w:jc w:val="center"/>
      </w:pPr>
      <w:rPr>
        <w:rFonts w:ascii="Arial" w:hAnsi="Arial"/>
        <w:b/>
        <w:bCs/>
        <w:color w:val="FFFFFF"/>
        <w:sz w:val="20"/>
      </w:rPr>
      <w:tblPr/>
      <w:tcPr>
        <w:shd w:val="clear" w:color="auto" w:fill="16365D"/>
        <w:vAlign w:val="center"/>
      </w:tcPr>
    </w:tblStylePr>
    <w:tblStylePr w:type="lastRow">
      <w:pPr>
        <w:jc w:val="left"/>
      </w:pPr>
      <w:rPr>
        <w:rFonts w:ascii="Arial" w:hAnsi="Arial"/>
        <w:b/>
        <w:bCs/>
        <w:sz w:val="20"/>
      </w:rPr>
      <w:tblPr/>
      <w:tcPr>
        <w:shd w:val="clear" w:color="auto" w:fill="CBCBCB"/>
        <w:vAlign w:val="bottom"/>
      </w:tcPr>
    </w:tblStylePr>
    <w:tblStylePr w:type="firstCol">
      <w:pPr>
        <w:jc w:val="left"/>
      </w:pPr>
      <w:rPr>
        <w:rFonts w:ascii="Arial" w:hAnsi="Arial"/>
        <w:b w:val="0"/>
        <w:bCs/>
        <w:sz w:val="20"/>
      </w:rPr>
      <w:tblPr/>
      <w:tcPr>
        <w:shd w:val="clear" w:color="auto" w:fill="DBE5F1"/>
      </w:tcPr>
    </w:tblStylePr>
    <w:tblStylePr w:type="lastCol">
      <w:pPr>
        <w:jc w:val="left"/>
      </w:pPr>
      <w:rPr>
        <w:rFonts w:ascii="Arial" w:hAnsi="Arial"/>
        <w:b w:val="0"/>
        <w:bCs/>
        <w:sz w:val="20"/>
      </w:rPr>
    </w:tblStylePr>
    <w:tblStylePr w:type="band1Vert">
      <w:rPr>
        <w:rFonts w:ascii="Arial" w:hAnsi="Arial"/>
        <w:sz w:val="20"/>
      </w:rPr>
      <w:tblPr/>
      <w:tcPr>
        <w:shd w:val="clear" w:color="auto" w:fill="DBE5F1"/>
      </w:tcPr>
    </w:tblStylePr>
    <w:tblStylePr w:type="band2Vert">
      <w:pPr>
        <w:jc w:val="left"/>
      </w:pPr>
      <w:rPr>
        <w:rFonts w:ascii="Arial" w:hAnsi="Arial"/>
        <w:sz w:val="20"/>
      </w:rPr>
      <w:tblPr/>
      <w:tcPr>
        <w:shd w:val="clear" w:color="auto" w:fill="DBE5F1"/>
      </w:tcPr>
    </w:tblStylePr>
    <w:tblStylePr w:type="band1Horz">
      <w:pPr>
        <w:jc w:val="left"/>
      </w:pPr>
      <w:rPr>
        <w:rFonts w:ascii="Arial" w:hAnsi="Arial"/>
        <w:sz w:val="20"/>
      </w:rPr>
      <w:tblPr/>
      <w:tcPr>
        <w:shd w:val="clear" w:color="auto" w:fill="DBE5F1"/>
      </w:tcPr>
    </w:tblStylePr>
    <w:tblStylePr w:type="band2Horz">
      <w:rPr>
        <w:rFonts w:ascii="Arial" w:hAnsi="Arial"/>
        <w:sz w:val="20"/>
      </w:rPr>
      <w:tblPr/>
      <w:tcPr>
        <w:shd w:val="clear" w:color="auto" w:fill="DBE5F1"/>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Style3">
    <w:name w:val="Style3"/>
    <w:basedOn w:val="TableNormal"/>
    <w:uiPriority w:val="99"/>
    <w:rsid w:val="00E27C6D"/>
    <w:pPr>
      <w:widowControl/>
    </w:pPr>
    <w:rPr>
      <w:rFonts w:ascii="Calibri" w:eastAsia="Calibri" w:hAnsi="Calibri" w:cs="Times New Roman"/>
      <w:sz w:val="20"/>
      <w:szCs w:val="20"/>
      <w:lang w:val="en-GB" w:eastAsia="en-GB"/>
    </w:rPr>
    <w:tblPr/>
  </w:style>
  <w:style w:type="table" w:customStyle="1" w:styleId="GridTable3-Accent11">
    <w:name w:val="Grid Table 3 - Accent 1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ppendixHeader">
    <w:name w:val="Appendix Header"/>
    <w:basedOn w:val="Normal"/>
    <w:autoRedefine/>
    <w:rsid w:val="00481F33"/>
    <w:pPr>
      <w:widowControl/>
      <w:spacing w:after="60"/>
      <w:jc w:val="center"/>
    </w:pPr>
    <w:rPr>
      <w:rFonts w:eastAsia="Times New Roman"/>
      <w:b/>
      <w:bCs/>
      <w:caps/>
      <w:color w:val="009CDE"/>
      <w:sz w:val="32"/>
      <w:szCs w:val="32"/>
      <w:lang w:val="en-GB"/>
    </w:rPr>
  </w:style>
  <w:style w:type="character" w:styleId="PageNumber">
    <w:name w:val="page number"/>
    <w:basedOn w:val="DefaultParagraphFont"/>
    <w:rsid w:val="00E27C6D"/>
  </w:style>
  <w:style w:type="paragraph" w:styleId="EndnoteText">
    <w:name w:val="endnote text"/>
    <w:basedOn w:val="Normal"/>
    <w:link w:val="EndnoteTextChar"/>
    <w:uiPriority w:val="99"/>
    <w:semiHidden/>
    <w:unhideWhenUsed/>
    <w:rsid w:val="00E27C6D"/>
    <w:pPr>
      <w:spacing w:before="0" w:after="0" w:line="240" w:lineRule="auto"/>
    </w:pPr>
  </w:style>
  <w:style w:type="character" w:customStyle="1" w:styleId="EndnoteTextChar">
    <w:name w:val="Endnote Text Char"/>
    <w:link w:val="EndnoteText"/>
    <w:uiPriority w:val="99"/>
    <w:semiHidden/>
    <w:rsid w:val="00E27C6D"/>
    <w:rPr>
      <w:rFonts w:ascii="Arial" w:eastAsia="Calibri" w:hAnsi="Arial" w:cs="Arial"/>
      <w:sz w:val="20"/>
      <w:szCs w:val="20"/>
    </w:rPr>
  </w:style>
  <w:style w:type="character" w:styleId="EndnoteReference">
    <w:name w:val="endnote reference"/>
    <w:uiPriority w:val="99"/>
    <w:semiHidden/>
    <w:unhideWhenUsed/>
    <w:rsid w:val="00E27C6D"/>
    <w:rPr>
      <w:vertAlign w:val="superscript"/>
    </w:rPr>
  </w:style>
  <w:style w:type="paragraph" w:customStyle="1" w:styleId="Footnotes">
    <w:name w:val="Footnotes"/>
    <w:basedOn w:val="FootnoteText"/>
    <w:link w:val="FootnotesChar"/>
    <w:autoRedefine/>
    <w:uiPriority w:val="1"/>
    <w:qFormat/>
    <w:rsid w:val="00D465F1"/>
    <w:rPr>
      <w:rFonts w:eastAsiaTheme="minorHAnsi"/>
      <w:sz w:val="22"/>
      <w:szCs w:val="22"/>
    </w:rPr>
  </w:style>
  <w:style w:type="character" w:customStyle="1" w:styleId="FootnotesChar">
    <w:name w:val="Footnotes Char"/>
    <w:link w:val="Footnotes"/>
    <w:uiPriority w:val="1"/>
    <w:rsid w:val="00D465F1"/>
    <w:rPr>
      <w:rFonts w:ascii="Arial" w:hAnsi="Arial" w:cs="Arial"/>
    </w:rPr>
  </w:style>
  <w:style w:type="paragraph" w:customStyle="1" w:styleId="Tablebullet">
    <w:name w:val="Table bullet"/>
    <w:basedOn w:val="TableParagraph"/>
    <w:link w:val="TablebulletChar"/>
    <w:uiPriority w:val="1"/>
    <w:qFormat/>
    <w:rsid w:val="00125738"/>
    <w:pPr>
      <w:numPr>
        <w:numId w:val="8"/>
      </w:numPr>
      <w:ind w:left="327" w:hanging="283"/>
    </w:pPr>
  </w:style>
  <w:style w:type="character" w:customStyle="1" w:styleId="TableParagraphChar">
    <w:name w:val="Table Paragraph Char"/>
    <w:link w:val="TableParagraph"/>
    <w:uiPriority w:val="1"/>
    <w:rsid w:val="00125738"/>
    <w:rPr>
      <w:rFonts w:ascii="Arial" w:eastAsia="Calibri" w:hAnsi="Arial" w:cs="Arial"/>
      <w:sz w:val="20"/>
      <w:szCs w:val="20"/>
      <w:lang w:val="en" w:eastAsia="en-GB"/>
    </w:rPr>
  </w:style>
  <w:style w:type="character" w:customStyle="1" w:styleId="TablebulletChar">
    <w:name w:val="Table bullet Char"/>
    <w:link w:val="Tablebullet"/>
    <w:uiPriority w:val="1"/>
    <w:rsid w:val="00125738"/>
    <w:rPr>
      <w:rFonts w:ascii="Arial" w:eastAsia="Calibri" w:hAnsi="Arial" w:cs="Arial"/>
      <w:sz w:val="20"/>
      <w:szCs w:val="20"/>
      <w:lang w:val="en" w:eastAsia="en-GB"/>
    </w:rPr>
  </w:style>
  <w:style w:type="table" w:styleId="TableTheme">
    <w:name w:val="Table Theme"/>
    <w:basedOn w:val="TableNormal"/>
    <w:uiPriority w:val="99"/>
    <w:semiHidden/>
    <w:unhideWhenUsed/>
    <w:rsid w:val="00E27C6D"/>
    <w:pPr>
      <w:widowControl/>
      <w:spacing w:before="60" w:after="180" w:line="288"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27C6D"/>
    <w:pPr>
      <w:widowControl/>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Header1">
    <w:name w:val="Header 1"/>
    <w:basedOn w:val="Normal"/>
    <w:link w:val="Header1Char"/>
    <w:autoRedefine/>
    <w:uiPriority w:val="1"/>
    <w:rsid w:val="00E27C6D"/>
    <w:pPr>
      <w:tabs>
        <w:tab w:val="left" w:pos="1620"/>
      </w:tabs>
      <w:spacing w:before="0" w:after="0" w:line="240" w:lineRule="auto"/>
      <w:ind w:right="-2"/>
      <w:jc w:val="right"/>
    </w:pPr>
    <w:rPr>
      <w:b/>
      <w:noProof/>
      <w:color w:val="16365D"/>
      <w:sz w:val="16"/>
      <w:lang w:val="en-GB" w:eastAsia="en-GB"/>
    </w:rPr>
  </w:style>
  <w:style w:type="paragraph" w:customStyle="1" w:styleId="Header2">
    <w:name w:val="Header 2"/>
    <w:basedOn w:val="Normal"/>
    <w:link w:val="Header2Char"/>
    <w:autoRedefine/>
    <w:uiPriority w:val="1"/>
    <w:rsid w:val="00E27C6D"/>
    <w:pPr>
      <w:tabs>
        <w:tab w:val="left" w:pos="1620"/>
      </w:tabs>
      <w:spacing w:before="0" w:after="0" w:line="240" w:lineRule="auto"/>
      <w:ind w:right="-2"/>
      <w:jc w:val="right"/>
    </w:pPr>
    <w:rPr>
      <w:b/>
      <w:color w:val="7F7F7F"/>
      <w:sz w:val="16"/>
    </w:rPr>
  </w:style>
  <w:style w:type="character" w:customStyle="1" w:styleId="Header1Char">
    <w:name w:val="Header 1 Char"/>
    <w:link w:val="Header1"/>
    <w:uiPriority w:val="1"/>
    <w:rsid w:val="00E27C6D"/>
    <w:rPr>
      <w:rFonts w:ascii="Arial" w:eastAsia="Calibri" w:hAnsi="Arial" w:cs="Arial"/>
      <w:b/>
      <w:noProof/>
      <w:color w:val="16365D"/>
      <w:sz w:val="16"/>
      <w:szCs w:val="20"/>
      <w:lang w:val="en-GB" w:eastAsia="en-GB"/>
    </w:rPr>
  </w:style>
  <w:style w:type="character" w:customStyle="1" w:styleId="Header2Char">
    <w:name w:val="Header 2 Char"/>
    <w:link w:val="Header2"/>
    <w:uiPriority w:val="1"/>
    <w:rsid w:val="00E27C6D"/>
    <w:rPr>
      <w:rFonts w:ascii="Arial" w:eastAsia="Calibri" w:hAnsi="Arial" w:cs="Arial"/>
      <w:b/>
      <w:color w:val="7F7F7F"/>
      <w:sz w:val="16"/>
      <w:szCs w:val="20"/>
    </w:rPr>
  </w:style>
  <w:style w:type="paragraph" w:styleId="Subtitle">
    <w:name w:val="Subtitle"/>
    <w:basedOn w:val="Normal"/>
    <w:next w:val="Normal"/>
    <w:link w:val="SubtitleChar"/>
    <w:uiPriority w:val="11"/>
    <w:rsid w:val="00E27C6D"/>
    <w:pPr>
      <w:numPr>
        <w:ilvl w:val="1"/>
      </w:numPr>
      <w:spacing w:after="160"/>
    </w:pPr>
    <w:rPr>
      <w:rFonts w:ascii="Calibri" w:eastAsiaTheme="minorEastAsia" w:hAnsi="Calibri" w:cstheme="minorBidi"/>
      <w:color w:val="5A5A5A"/>
      <w:spacing w:val="15"/>
      <w:sz w:val="22"/>
      <w:szCs w:val="22"/>
    </w:rPr>
  </w:style>
  <w:style w:type="character" w:customStyle="1" w:styleId="SubtitleChar">
    <w:name w:val="Subtitle Char"/>
    <w:link w:val="Subtitle"/>
    <w:uiPriority w:val="11"/>
    <w:rsid w:val="00E27C6D"/>
    <w:rPr>
      <w:rFonts w:ascii="Calibri" w:eastAsiaTheme="minorEastAsia" w:hAnsi="Calibri"/>
      <w:color w:val="5A5A5A"/>
      <w:spacing w:val="15"/>
    </w:rPr>
  </w:style>
  <w:style w:type="character" w:styleId="IntenseEmphasis">
    <w:name w:val="Intense Emphasis"/>
    <w:uiPriority w:val="21"/>
    <w:qFormat/>
    <w:rsid w:val="00E27C6D"/>
    <w:rPr>
      <w:i/>
      <w:iCs/>
      <w:color w:val="4F81BD"/>
    </w:rPr>
  </w:style>
  <w:style w:type="character" w:styleId="Emphasis">
    <w:name w:val="Emphasis"/>
    <w:uiPriority w:val="20"/>
    <w:qFormat/>
    <w:rsid w:val="00E27C6D"/>
    <w:rPr>
      <w:i/>
      <w:iCs/>
    </w:rPr>
  </w:style>
  <w:style w:type="character" w:styleId="SubtleReference">
    <w:name w:val="Subtle Reference"/>
    <w:uiPriority w:val="31"/>
    <w:rsid w:val="00E27C6D"/>
    <w:rPr>
      <w:smallCaps/>
      <w:color w:val="5A5A5A"/>
    </w:rPr>
  </w:style>
  <w:style w:type="paragraph" w:customStyle="1" w:styleId="Header1FrontPage">
    <w:name w:val="Header 1 Front Page"/>
    <w:basedOn w:val="Header1"/>
    <w:link w:val="Header1FrontPageChar"/>
    <w:uiPriority w:val="1"/>
    <w:rsid w:val="00E27C6D"/>
    <w:pPr>
      <w:ind w:left="567"/>
      <w:jc w:val="left"/>
    </w:pPr>
    <w:rPr>
      <w:sz w:val="28"/>
    </w:rPr>
  </w:style>
  <w:style w:type="paragraph" w:customStyle="1" w:styleId="Header2FrontPage">
    <w:name w:val="Header 2 Front Page"/>
    <w:basedOn w:val="Header2"/>
    <w:link w:val="Header2FrontPageChar"/>
    <w:uiPriority w:val="1"/>
    <w:qFormat/>
    <w:rsid w:val="00E27C6D"/>
    <w:pPr>
      <w:ind w:left="567"/>
      <w:jc w:val="left"/>
    </w:pPr>
    <w:rPr>
      <w:sz w:val="28"/>
      <w:szCs w:val="28"/>
    </w:rPr>
  </w:style>
  <w:style w:type="character" w:customStyle="1" w:styleId="Header1FrontPageChar">
    <w:name w:val="Header 1 Front Page Char"/>
    <w:link w:val="Header1FrontPage"/>
    <w:uiPriority w:val="1"/>
    <w:rsid w:val="00E27C6D"/>
    <w:rPr>
      <w:rFonts w:ascii="Arial" w:eastAsia="Calibri" w:hAnsi="Arial" w:cs="Arial"/>
      <w:b/>
      <w:noProof/>
      <w:color w:val="16365D"/>
      <w:sz w:val="28"/>
      <w:szCs w:val="20"/>
      <w:lang w:val="en-GB" w:eastAsia="en-GB"/>
    </w:rPr>
  </w:style>
  <w:style w:type="character" w:customStyle="1" w:styleId="Header2FrontPageChar">
    <w:name w:val="Header 2 Front Page Char"/>
    <w:link w:val="Header2FrontPage"/>
    <w:uiPriority w:val="1"/>
    <w:rsid w:val="00E27C6D"/>
    <w:rPr>
      <w:rFonts w:ascii="Arial" w:eastAsia="Calibri" w:hAnsi="Arial" w:cs="Arial"/>
      <w:b/>
      <w:color w:val="7F7F7F"/>
      <w:sz w:val="28"/>
      <w:szCs w:val="28"/>
    </w:rPr>
  </w:style>
  <w:style w:type="paragraph" w:customStyle="1" w:styleId="Footnotenumber">
    <w:name w:val="Footnote number"/>
    <w:basedOn w:val="BodyText-parastyle"/>
    <w:link w:val="FootnotenumberChar"/>
    <w:uiPriority w:val="1"/>
    <w:qFormat/>
    <w:rsid w:val="00E27C6D"/>
    <w:rPr>
      <w:vertAlign w:val="superscript"/>
    </w:rPr>
  </w:style>
  <w:style w:type="character" w:customStyle="1" w:styleId="FootnotenumberChar">
    <w:name w:val="Footnote number Char"/>
    <w:basedOn w:val="BodyText-parastyleChar"/>
    <w:link w:val="Footnotenumber"/>
    <w:uiPriority w:val="1"/>
    <w:rsid w:val="00E27C6D"/>
    <w:rPr>
      <w:rFonts w:ascii="Arial" w:eastAsia="Times New Roman" w:hAnsi="Arial" w:cs="Arial"/>
      <w:sz w:val="20"/>
      <w:szCs w:val="20"/>
      <w:vertAlign w:val="superscript"/>
      <w:lang w:val="en-GB" w:eastAsia="en-GB"/>
    </w:rPr>
  </w:style>
  <w:style w:type="character" w:customStyle="1" w:styleId="Heading5Char">
    <w:name w:val="Heading 5 Char"/>
    <w:aliases w:val="Roman list Char,Appendix A to X Char,Heading 5   Appendix A to X Char,Block Label Char,h5 Char,Heading5 Char,5 sub-bullet Char,sb Char,H5-Heading 5 Char,l5 Char,heading5 Char,heading 5 Char,tcs Char,tablecaps Char,hd5 Char,H5 Char"/>
    <w:link w:val="Heading5"/>
    <w:rsid w:val="00E27C6D"/>
    <w:rPr>
      <w:rFonts w:ascii="Univers" w:eastAsia="Times New Roman" w:hAnsi="Univers" w:cs="Times New Roman"/>
      <w:b/>
      <w:bCs/>
      <w:sz w:val="20"/>
      <w:szCs w:val="24"/>
      <w:lang w:val="en-GB"/>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link w:val="Heading6"/>
    <w:rsid w:val="00E27C6D"/>
    <w:rPr>
      <w:rFonts w:ascii="Arial" w:eastAsia="Times New Roman" w:hAnsi="Arial" w:cs="Times New Roman"/>
      <w:i/>
      <w:snapToGrid w:val="0"/>
      <w:sz w:val="18"/>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Level 1.1 Char,71 Char,ExhibitTitle1 Char"/>
    <w:link w:val="Heading7"/>
    <w:rsid w:val="00E27C6D"/>
    <w:rPr>
      <w:rFonts w:ascii="Cambria" w:eastAsia="Times New Roman" w:hAnsi="Cambria" w:cs="Times New Roman"/>
      <w:i/>
      <w:iCs/>
      <w:color w:val="243F60"/>
      <w:sz w:val="20"/>
      <w:szCs w:val="20"/>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link w:val="Heading8"/>
    <w:rsid w:val="00E27C6D"/>
    <w:rPr>
      <w:rFonts w:ascii="Arial" w:eastAsia="Times New Roman" w:hAnsi="Arial" w:cs="Times New Roman"/>
      <w:i/>
      <w:sz w:val="18"/>
      <w:szCs w:val="20"/>
    </w:rPr>
  </w:style>
  <w:style w:type="character" w:customStyle="1" w:styleId="Heading9Char">
    <w:name w:val="Heading 9 Char"/>
    <w:aliases w:val="App Heading Char,Titre 10 Char,App1 Char,Legal Level 1.1.1.1. Char,9 Char,TableTitle Char,Cond'l Reqt. Char,rb Char,req bullet Char,req1 Char,tt Char,table title Char,TableText Char,heading 9 Char,l9 Char,h9 Char,appendix Char,91 Char"/>
    <w:link w:val="Heading9"/>
    <w:rsid w:val="00E27C6D"/>
    <w:rPr>
      <w:rFonts w:ascii="Arial" w:eastAsia="Times New Roman" w:hAnsi="Arial" w:cs="Times New Roman"/>
      <w:i/>
      <w:color w:val="FFFFFF"/>
      <w:sz w:val="18"/>
      <w:szCs w:val="20"/>
    </w:rPr>
  </w:style>
  <w:style w:type="paragraph" w:styleId="Index1">
    <w:name w:val="index 1"/>
    <w:basedOn w:val="Normal"/>
    <w:next w:val="Normal"/>
    <w:autoRedefine/>
    <w:rsid w:val="00E27C6D"/>
    <w:pPr>
      <w:widowControl/>
      <w:spacing w:before="0" w:after="100" w:afterAutospacing="1" w:line="240" w:lineRule="auto"/>
      <w:ind w:left="200" w:hanging="200"/>
    </w:pPr>
    <w:rPr>
      <w:rFonts w:eastAsia="Times New Roman" w:cs="Times New Roman"/>
    </w:rPr>
  </w:style>
  <w:style w:type="paragraph" w:styleId="Index2">
    <w:name w:val="index 2"/>
    <w:basedOn w:val="Normal"/>
    <w:next w:val="Normal"/>
    <w:autoRedefine/>
    <w:rsid w:val="00E27C6D"/>
    <w:pPr>
      <w:widowControl/>
      <w:spacing w:after="60"/>
      <w:jc w:val="both"/>
    </w:pPr>
    <w:rPr>
      <w:rFonts w:eastAsia="Times New Roman" w:cs="Times New Roman"/>
      <w:szCs w:val="24"/>
      <w:lang w:val="en-GB"/>
    </w:rPr>
  </w:style>
  <w:style w:type="paragraph" w:styleId="Index3">
    <w:name w:val="index 3"/>
    <w:basedOn w:val="Normal"/>
    <w:next w:val="Normal"/>
    <w:autoRedefine/>
    <w:rsid w:val="00E27C6D"/>
    <w:pPr>
      <w:widowControl/>
      <w:spacing w:before="0" w:after="100" w:afterAutospacing="1" w:line="240" w:lineRule="auto"/>
      <w:ind w:left="600" w:hanging="200"/>
    </w:pPr>
    <w:rPr>
      <w:rFonts w:eastAsia="Times New Roman" w:cs="Times New Roman"/>
    </w:rPr>
  </w:style>
  <w:style w:type="paragraph" w:styleId="Index4">
    <w:name w:val="index 4"/>
    <w:basedOn w:val="Normal"/>
    <w:next w:val="Normal"/>
    <w:autoRedefine/>
    <w:rsid w:val="00E27C6D"/>
    <w:pPr>
      <w:widowControl/>
      <w:spacing w:before="0" w:after="100" w:afterAutospacing="1" w:line="240" w:lineRule="auto"/>
      <w:ind w:left="800" w:hanging="200"/>
    </w:pPr>
    <w:rPr>
      <w:rFonts w:eastAsia="Times New Roman" w:cs="Times New Roman"/>
    </w:rPr>
  </w:style>
  <w:style w:type="paragraph" w:styleId="Index5">
    <w:name w:val="index 5"/>
    <w:basedOn w:val="Normal"/>
    <w:next w:val="Normal"/>
    <w:autoRedefine/>
    <w:rsid w:val="00E27C6D"/>
    <w:pPr>
      <w:widowControl/>
      <w:spacing w:before="0" w:after="100" w:afterAutospacing="1" w:line="240" w:lineRule="auto"/>
      <w:ind w:left="1000" w:hanging="200"/>
    </w:pPr>
    <w:rPr>
      <w:rFonts w:eastAsia="Times New Roman" w:cs="Times New Roman"/>
    </w:rPr>
  </w:style>
  <w:style w:type="paragraph" w:styleId="Index6">
    <w:name w:val="index 6"/>
    <w:basedOn w:val="Normal"/>
    <w:next w:val="Normal"/>
    <w:autoRedefine/>
    <w:rsid w:val="00E27C6D"/>
    <w:pPr>
      <w:widowControl/>
      <w:spacing w:before="0" w:after="100" w:afterAutospacing="1" w:line="240" w:lineRule="auto"/>
      <w:ind w:left="1200" w:hanging="200"/>
    </w:pPr>
    <w:rPr>
      <w:rFonts w:eastAsia="Times New Roman" w:cs="Times New Roman"/>
    </w:rPr>
  </w:style>
  <w:style w:type="paragraph" w:styleId="Index7">
    <w:name w:val="index 7"/>
    <w:basedOn w:val="Normal"/>
    <w:next w:val="Normal"/>
    <w:autoRedefine/>
    <w:rsid w:val="00E27C6D"/>
    <w:pPr>
      <w:widowControl/>
      <w:spacing w:before="0" w:after="100" w:afterAutospacing="1" w:line="240" w:lineRule="auto"/>
      <w:ind w:left="1400" w:hanging="200"/>
    </w:pPr>
    <w:rPr>
      <w:rFonts w:eastAsia="Times New Roman" w:cs="Times New Roman"/>
    </w:rPr>
  </w:style>
  <w:style w:type="paragraph" w:styleId="Index8">
    <w:name w:val="index 8"/>
    <w:basedOn w:val="Normal"/>
    <w:next w:val="Normal"/>
    <w:autoRedefine/>
    <w:rsid w:val="00E27C6D"/>
    <w:pPr>
      <w:widowControl/>
      <w:spacing w:before="0" w:after="100" w:afterAutospacing="1" w:line="240" w:lineRule="auto"/>
      <w:ind w:left="1600" w:hanging="200"/>
    </w:pPr>
    <w:rPr>
      <w:rFonts w:eastAsia="Times New Roman" w:cs="Times New Roman"/>
    </w:rPr>
  </w:style>
  <w:style w:type="paragraph" w:styleId="Index9">
    <w:name w:val="index 9"/>
    <w:basedOn w:val="Normal"/>
    <w:next w:val="Normal"/>
    <w:autoRedefine/>
    <w:rsid w:val="00E27C6D"/>
    <w:pPr>
      <w:widowControl/>
      <w:spacing w:before="0" w:after="100" w:afterAutospacing="1" w:line="240" w:lineRule="auto"/>
      <w:ind w:left="1800" w:hanging="200"/>
    </w:pPr>
    <w:rPr>
      <w:rFonts w:eastAsia="Times New Roman" w:cs="Times New Roman"/>
    </w:rPr>
  </w:style>
  <w:style w:type="paragraph" w:styleId="TOC4">
    <w:name w:val="toc 4"/>
    <w:basedOn w:val="TOC3"/>
    <w:autoRedefine/>
    <w:rsid w:val="00E27C6D"/>
    <w:pPr>
      <w:tabs>
        <w:tab w:val="right" w:leader="dot" w:pos="10214"/>
      </w:tabs>
      <w:spacing w:before="0" w:after="0" w:line="240" w:lineRule="auto"/>
      <w:ind w:left="601"/>
    </w:pPr>
    <w:rPr>
      <w:rFonts w:eastAsia="Times New Roman"/>
      <w:noProof/>
      <w:sz w:val="22"/>
    </w:rPr>
  </w:style>
  <w:style w:type="paragraph" w:styleId="TOC5">
    <w:name w:val="toc 5"/>
    <w:basedOn w:val="TOC4"/>
    <w:autoRedefine/>
    <w:rsid w:val="00E27C6D"/>
    <w:pPr>
      <w:ind w:left="799"/>
    </w:pPr>
  </w:style>
  <w:style w:type="paragraph" w:styleId="TOC6">
    <w:name w:val="toc 6"/>
    <w:basedOn w:val="TOC5"/>
    <w:autoRedefine/>
    <w:rsid w:val="00E27C6D"/>
    <w:pPr>
      <w:ind w:left="1000"/>
    </w:pPr>
  </w:style>
  <w:style w:type="paragraph" w:styleId="TOC7">
    <w:name w:val="toc 7"/>
    <w:basedOn w:val="Normal"/>
    <w:next w:val="Normal"/>
    <w:autoRedefine/>
    <w:rsid w:val="00E27C6D"/>
    <w:pPr>
      <w:widowControl/>
      <w:spacing w:before="0" w:after="0" w:line="240" w:lineRule="auto"/>
      <w:ind w:left="1202"/>
    </w:pPr>
    <w:rPr>
      <w:rFonts w:eastAsia="Times New Roman" w:cs="Times New Roman"/>
      <w:sz w:val="22"/>
    </w:rPr>
  </w:style>
  <w:style w:type="paragraph" w:styleId="TOC8">
    <w:name w:val="toc 8"/>
    <w:basedOn w:val="TOC7"/>
    <w:autoRedefine/>
    <w:rsid w:val="00E27C6D"/>
    <w:pPr>
      <w:ind w:left="1400"/>
    </w:pPr>
  </w:style>
  <w:style w:type="paragraph" w:styleId="TOC9">
    <w:name w:val="toc 9"/>
    <w:basedOn w:val="TOC8"/>
    <w:autoRedefine/>
    <w:rsid w:val="00E27C6D"/>
    <w:pPr>
      <w:ind w:left="1600"/>
    </w:p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Ch, Ch"/>
    <w:basedOn w:val="Normal"/>
    <w:rsid w:val="00E27C6D"/>
    <w:pPr>
      <w:widowControl/>
      <w:spacing w:before="0" w:line="240" w:lineRule="auto"/>
      <w:ind w:left="720"/>
      <w:jc w:val="both"/>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rsid w:val="00E27C6D"/>
    <w:pPr>
      <w:widowControl/>
      <w:spacing w:after="60"/>
      <w:jc w:val="both"/>
    </w:pPr>
    <w:rPr>
      <w:lang w:val="en-IE"/>
    </w:rPr>
  </w:style>
  <w:style w:type="character" w:customStyle="1" w:styleId="CommentTextChar">
    <w:name w:val="Comment Text Char"/>
    <w:link w:val="CommentText"/>
    <w:uiPriority w:val="99"/>
    <w:rsid w:val="00E27C6D"/>
    <w:rPr>
      <w:rFonts w:ascii="Arial" w:eastAsia="Calibri" w:hAnsi="Arial" w:cs="Arial"/>
      <w:sz w:val="20"/>
      <w:szCs w:val="20"/>
      <w:lang w:val="en-IE"/>
    </w:rPr>
  </w:style>
  <w:style w:type="paragraph" w:styleId="IndexHeading">
    <w:name w:val="index heading"/>
    <w:basedOn w:val="Normal"/>
    <w:next w:val="Index1"/>
    <w:rsid w:val="00E27C6D"/>
    <w:pPr>
      <w:widowControl/>
      <w:spacing w:before="0" w:after="100" w:afterAutospacing="1" w:line="240" w:lineRule="auto"/>
    </w:pPr>
    <w:rPr>
      <w:rFonts w:eastAsia="Times New Roman" w:cs="Times New Roman"/>
    </w:rPr>
  </w:style>
  <w:style w:type="paragraph" w:styleId="Caption">
    <w:name w:val="caption"/>
    <w:basedOn w:val="Normal"/>
    <w:next w:val="Normal"/>
    <w:uiPriority w:val="35"/>
    <w:unhideWhenUsed/>
    <w:qFormat/>
    <w:rsid w:val="00E27C6D"/>
    <w:pPr>
      <w:spacing w:before="0" w:after="200" w:line="240" w:lineRule="auto"/>
    </w:pPr>
    <w:rPr>
      <w:i/>
      <w:iCs/>
      <w:color w:val="1F497D"/>
      <w:sz w:val="18"/>
      <w:szCs w:val="18"/>
    </w:rPr>
  </w:style>
  <w:style w:type="character" w:styleId="CommentReference">
    <w:name w:val="annotation reference"/>
    <w:uiPriority w:val="99"/>
    <w:semiHidden/>
    <w:rsid w:val="00E27C6D"/>
    <w:rPr>
      <w:rFonts w:cs="Times New Roman"/>
      <w:sz w:val="16"/>
      <w:szCs w:val="16"/>
    </w:rPr>
  </w:style>
  <w:style w:type="paragraph" w:styleId="TOAHeading">
    <w:name w:val="toa heading"/>
    <w:basedOn w:val="Normal"/>
    <w:next w:val="Normal"/>
    <w:rsid w:val="00E27C6D"/>
    <w:pPr>
      <w:tabs>
        <w:tab w:val="right" w:pos="9360"/>
      </w:tabs>
      <w:suppressAutoHyphens/>
      <w:overflowPunct w:val="0"/>
      <w:autoSpaceDE w:val="0"/>
      <w:autoSpaceDN w:val="0"/>
      <w:adjustRightInd w:val="0"/>
      <w:spacing w:before="0" w:after="0" w:line="240" w:lineRule="auto"/>
      <w:textAlignment w:val="baseline"/>
    </w:pPr>
    <w:rPr>
      <w:rFonts w:ascii="Courier" w:eastAsia="Times New Roman" w:hAnsi="Courier" w:cs="Times New Roman"/>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rsid w:val="00E27C6D"/>
    <w:pPr>
      <w:widowControl/>
      <w:numPr>
        <w:numId w:val="4"/>
      </w:numPr>
      <w:spacing w:after="60"/>
      <w:jc w:val="both"/>
    </w:pPr>
    <w:rPr>
      <w:rFonts w:eastAsia="Times New Roman" w:cs="Times New Roman"/>
      <w:szCs w:val="24"/>
    </w:rPr>
  </w:style>
  <w:style w:type="paragraph" w:styleId="ListBullet2">
    <w:name w:val="List Bullet 2"/>
    <w:basedOn w:val="Normal"/>
    <w:rsid w:val="00E27C6D"/>
    <w:pPr>
      <w:widowControl/>
      <w:numPr>
        <w:numId w:val="5"/>
      </w:numPr>
      <w:spacing w:after="60"/>
      <w:jc w:val="both"/>
    </w:pPr>
    <w:rPr>
      <w:rFonts w:eastAsia="Times New Roman" w:cs="Times New Roman"/>
      <w:szCs w:val="24"/>
    </w:rPr>
  </w:style>
  <w:style w:type="paragraph" w:styleId="ListBullet3">
    <w:name w:val="List Bullet 3"/>
    <w:basedOn w:val="Normal"/>
    <w:rsid w:val="00E27C6D"/>
    <w:pPr>
      <w:widowControl/>
      <w:numPr>
        <w:numId w:val="6"/>
      </w:numPr>
      <w:spacing w:after="60"/>
      <w:jc w:val="both"/>
    </w:pPr>
    <w:rPr>
      <w:rFonts w:eastAsia="Times New Roman" w:cs="Times New Roman"/>
      <w:szCs w:val="24"/>
    </w:rPr>
  </w:style>
  <w:style w:type="paragraph" w:styleId="Signature">
    <w:name w:val="Signature"/>
    <w:basedOn w:val="Normal"/>
    <w:link w:val="SignatureChar"/>
    <w:rsid w:val="00E27C6D"/>
    <w:pPr>
      <w:widowControl/>
      <w:spacing w:before="0" w:after="100" w:afterAutospacing="1" w:line="240" w:lineRule="auto"/>
      <w:ind w:left="4252"/>
    </w:pPr>
    <w:rPr>
      <w:rFonts w:eastAsia="Times New Roman" w:cs="Times New Roman"/>
    </w:rPr>
  </w:style>
  <w:style w:type="character" w:customStyle="1" w:styleId="SignatureChar">
    <w:name w:val="Signature Char"/>
    <w:link w:val="Signature"/>
    <w:rsid w:val="00E27C6D"/>
    <w:rPr>
      <w:rFonts w:ascii="Arial" w:eastAsia="Times New Roman" w:hAnsi="Arial" w:cs="Times New Roman"/>
      <w:sz w:val="20"/>
      <w:szCs w:val="20"/>
    </w:rPr>
  </w:style>
  <w:style w:type="character" w:customStyle="1" w:styleId="BodyTextChar">
    <w:name w:val="Body Text Char"/>
    <w:aliases w:val="Body Text Char Char Char Char Char Char Char Char Char Char Char Char Char,Body Text Char Char Char Char Char Char Char Char Char Char Char Char Char Char Char Char Char,Body Text1 Char,Body Text1 Char Char Char Char Char Char Char,b Char"/>
    <w:link w:val="BodyText"/>
    <w:rsid w:val="00E27C6D"/>
    <w:rPr>
      <w:rFonts w:ascii="Arial Narrow" w:eastAsia="Arial Narrow" w:hAnsi="Arial Narrow" w:cs="Arial"/>
      <w:b/>
      <w:bCs/>
      <w:sz w:val="54"/>
      <w:szCs w:val="54"/>
    </w:rPr>
  </w:style>
  <w:style w:type="paragraph" w:styleId="BodyTextIndent">
    <w:name w:val="Body Text Indent"/>
    <w:basedOn w:val="Normal"/>
    <w:link w:val="BodyTextIndentChar"/>
    <w:rsid w:val="00E27C6D"/>
    <w:pPr>
      <w:widowControl/>
      <w:spacing w:before="0"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link w:val="BodyTextIndent"/>
    <w:rsid w:val="00E27C6D"/>
    <w:rPr>
      <w:rFonts w:ascii="Times New Roman" w:eastAsia="Times New Roman" w:hAnsi="Times New Roman" w:cs="Times New Roman"/>
      <w:sz w:val="24"/>
      <w:szCs w:val="24"/>
      <w:lang w:val="en-GB"/>
    </w:rPr>
  </w:style>
  <w:style w:type="paragraph" w:styleId="Date">
    <w:name w:val="Date"/>
    <w:basedOn w:val="Normal"/>
    <w:next w:val="Normal"/>
    <w:link w:val="DateChar"/>
    <w:rsid w:val="00E27C6D"/>
    <w:pPr>
      <w:widowControl/>
      <w:spacing w:before="0" w:after="0" w:afterAutospacing="1" w:line="240" w:lineRule="auto"/>
    </w:pPr>
    <w:rPr>
      <w:rFonts w:eastAsia="Times New Roman" w:cs="Times New Roman"/>
      <w:sz w:val="24"/>
      <w:szCs w:val="24"/>
      <w:lang w:val="en-GB" w:eastAsia="en-IE"/>
    </w:rPr>
  </w:style>
  <w:style w:type="character" w:customStyle="1" w:styleId="DateChar">
    <w:name w:val="Date Char"/>
    <w:link w:val="Date"/>
    <w:rsid w:val="00E27C6D"/>
    <w:rPr>
      <w:rFonts w:ascii="Arial" w:eastAsia="Times New Roman" w:hAnsi="Arial" w:cs="Times New Roman"/>
      <w:sz w:val="24"/>
      <w:szCs w:val="24"/>
      <w:lang w:val="en-GB" w:eastAsia="en-IE"/>
    </w:rPr>
  </w:style>
  <w:style w:type="paragraph" w:styleId="BodyTextFirstIndent">
    <w:name w:val="Body Text First Indent"/>
    <w:basedOn w:val="BodyText"/>
    <w:link w:val="BodyTextFirstIndentChar"/>
    <w:rsid w:val="00E27C6D"/>
    <w:pPr>
      <w:widowControl/>
      <w:spacing w:before="60" w:after="120"/>
      <w:ind w:left="0" w:firstLine="210"/>
      <w:jc w:val="both"/>
    </w:pPr>
    <w:rPr>
      <w:rFonts w:ascii="Arial" w:eastAsia="Times New Roman" w:hAnsi="Arial" w:cs="Times New Roman"/>
      <w:b w:val="0"/>
      <w:bCs w:val="0"/>
      <w:sz w:val="20"/>
      <w:szCs w:val="24"/>
      <w:lang w:val="en-GB"/>
    </w:rPr>
  </w:style>
  <w:style w:type="character" w:customStyle="1" w:styleId="BodyTextFirstIndentChar">
    <w:name w:val="Body Text First Indent Char"/>
    <w:link w:val="BodyTextFirstIndent"/>
    <w:rsid w:val="00E27C6D"/>
    <w:rPr>
      <w:rFonts w:ascii="Arial" w:eastAsia="Times New Roman" w:hAnsi="Arial" w:cs="Times New Roman"/>
      <w:sz w:val="20"/>
      <w:szCs w:val="24"/>
      <w:lang w:val="en-GB"/>
    </w:rPr>
  </w:style>
  <w:style w:type="paragraph" w:styleId="BodyTextFirstIndent2">
    <w:name w:val="Body Text First Indent 2"/>
    <w:basedOn w:val="BodyTextIndent"/>
    <w:link w:val="BodyTextFirstIndent2Char"/>
    <w:rsid w:val="00E27C6D"/>
    <w:pPr>
      <w:spacing w:before="60" w:line="288" w:lineRule="auto"/>
      <w:ind w:firstLine="210"/>
      <w:jc w:val="both"/>
    </w:pPr>
    <w:rPr>
      <w:rFonts w:ascii="Arial" w:hAnsi="Arial"/>
      <w:sz w:val="20"/>
    </w:rPr>
  </w:style>
  <w:style w:type="character" w:customStyle="1" w:styleId="BodyTextFirstIndent2Char">
    <w:name w:val="Body Text First Indent 2 Char"/>
    <w:link w:val="BodyTextFirstIndent2"/>
    <w:rsid w:val="00E27C6D"/>
    <w:rPr>
      <w:rFonts w:ascii="Arial" w:eastAsia="Times New Roman" w:hAnsi="Arial" w:cs="Times New Roman"/>
      <w:sz w:val="20"/>
      <w:szCs w:val="24"/>
      <w:lang w:val="en-GB"/>
    </w:rPr>
  </w:style>
  <w:style w:type="paragraph" w:styleId="BodyText2">
    <w:name w:val="Body Text 2"/>
    <w:basedOn w:val="Normal"/>
    <w:link w:val="BodyText2Char"/>
    <w:rsid w:val="00E27C6D"/>
    <w:pPr>
      <w:widowControl/>
      <w:spacing w:before="20" w:after="20"/>
      <w:ind w:left="1440"/>
      <w:jc w:val="both"/>
    </w:pPr>
    <w:rPr>
      <w:rFonts w:eastAsia="Times New Roman" w:cs="Times New Roman"/>
      <w:szCs w:val="24"/>
      <w:lang w:val="en-GB"/>
    </w:rPr>
  </w:style>
  <w:style w:type="character" w:customStyle="1" w:styleId="BodyText2Char">
    <w:name w:val="Body Text 2 Char"/>
    <w:link w:val="BodyText2"/>
    <w:rsid w:val="00E27C6D"/>
    <w:rPr>
      <w:rFonts w:ascii="Arial" w:eastAsia="Times New Roman" w:hAnsi="Arial" w:cs="Times New Roman"/>
      <w:sz w:val="20"/>
      <w:szCs w:val="24"/>
      <w:lang w:val="en-GB"/>
    </w:rPr>
  </w:style>
  <w:style w:type="paragraph" w:styleId="BodyText3">
    <w:name w:val="Body Text 3"/>
    <w:basedOn w:val="Normal"/>
    <w:link w:val="BodyText3Char"/>
    <w:rsid w:val="00E27C6D"/>
    <w:pPr>
      <w:widowControl/>
      <w:contextualSpacing/>
      <w:jc w:val="both"/>
    </w:pPr>
    <w:rPr>
      <w:rFonts w:eastAsia="Times New Roman" w:cs="Times New Roman"/>
      <w:lang w:val="en-GB"/>
    </w:rPr>
  </w:style>
  <w:style w:type="character" w:customStyle="1" w:styleId="BodyText3Char">
    <w:name w:val="Body Text 3 Char"/>
    <w:link w:val="BodyText3"/>
    <w:rsid w:val="00E27C6D"/>
    <w:rPr>
      <w:rFonts w:ascii="Arial" w:eastAsia="Times New Roman" w:hAnsi="Arial" w:cs="Times New Roman"/>
      <w:sz w:val="20"/>
      <w:szCs w:val="20"/>
      <w:lang w:val="en-GB"/>
    </w:rPr>
  </w:style>
  <w:style w:type="paragraph" w:styleId="BodyTextIndent2">
    <w:name w:val="Body Text Indent 2"/>
    <w:basedOn w:val="Normal"/>
    <w:link w:val="BodyTextIndent2Char"/>
    <w:rsid w:val="00E27C6D"/>
    <w:pPr>
      <w:widowControl/>
      <w:spacing w:after="120" w:line="480" w:lineRule="auto"/>
      <w:ind w:left="283"/>
      <w:jc w:val="both"/>
    </w:pPr>
    <w:rPr>
      <w:rFonts w:eastAsia="Times New Roman" w:cs="Times New Roman"/>
      <w:szCs w:val="24"/>
      <w:lang w:val="en-GB"/>
    </w:rPr>
  </w:style>
  <w:style w:type="character" w:customStyle="1" w:styleId="BodyTextIndent2Char">
    <w:name w:val="Body Text Indent 2 Char"/>
    <w:link w:val="BodyTextIndent2"/>
    <w:rsid w:val="00E27C6D"/>
    <w:rPr>
      <w:rFonts w:ascii="Arial" w:eastAsia="Times New Roman" w:hAnsi="Arial" w:cs="Times New Roman"/>
      <w:sz w:val="20"/>
      <w:szCs w:val="24"/>
      <w:lang w:val="en-GB"/>
    </w:rPr>
  </w:style>
  <w:style w:type="paragraph" w:styleId="BodyTextIndent3">
    <w:name w:val="Body Text Indent 3"/>
    <w:basedOn w:val="Normal"/>
    <w:link w:val="BodyTextIndent3Char"/>
    <w:rsid w:val="00E27C6D"/>
    <w:pPr>
      <w:keepLines/>
      <w:widowControl/>
      <w:spacing w:before="0" w:after="240" w:line="264" w:lineRule="auto"/>
      <w:ind w:left="142"/>
      <w:jc w:val="both"/>
    </w:pPr>
    <w:rPr>
      <w:rFonts w:ascii="Times New Roman" w:eastAsia="Times New Roman" w:hAnsi="Times New Roman" w:cs="Times New Roman"/>
      <w:sz w:val="22"/>
      <w:lang w:val="en-GB"/>
    </w:rPr>
  </w:style>
  <w:style w:type="character" w:customStyle="1" w:styleId="BodyTextIndent3Char">
    <w:name w:val="Body Text Indent 3 Char"/>
    <w:link w:val="BodyTextIndent3"/>
    <w:rsid w:val="00E27C6D"/>
    <w:rPr>
      <w:rFonts w:ascii="Times New Roman" w:eastAsia="Times New Roman" w:hAnsi="Times New Roman" w:cs="Times New Roman"/>
      <w:szCs w:val="20"/>
      <w:lang w:val="en-GB"/>
    </w:rPr>
  </w:style>
  <w:style w:type="paragraph" w:styleId="BlockText">
    <w:name w:val="Block Text"/>
    <w:basedOn w:val="Normal"/>
    <w:rsid w:val="00E27C6D"/>
    <w:pPr>
      <w:widowControl/>
      <w:spacing w:after="120"/>
      <w:ind w:left="1440" w:right="1440"/>
      <w:jc w:val="both"/>
    </w:pPr>
    <w:rPr>
      <w:rFonts w:eastAsia="Times New Roman" w:cs="Times New Roman"/>
      <w:szCs w:val="24"/>
      <w:lang w:val="en-GB"/>
    </w:rPr>
  </w:style>
  <w:style w:type="paragraph" w:styleId="DocumentMap">
    <w:name w:val="Document Map"/>
    <w:basedOn w:val="Normal"/>
    <w:link w:val="DocumentMapChar"/>
    <w:rsid w:val="00E27C6D"/>
    <w:pPr>
      <w:widowControl/>
      <w:shd w:val="clear" w:color="auto" w:fill="000080"/>
      <w:spacing w:after="60"/>
      <w:jc w:val="both"/>
    </w:pPr>
    <w:rPr>
      <w:rFonts w:ascii="Tahoma" w:eastAsia="Times New Roman" w:hAnsi="Tahoma" w:cs="Tahoma"/>
      <w:lang w:val="en-GB"/>
    </w:rPr>
  </w:style>
  <w:style w:type="character" w:customStyle="1" w:styleId="DocumentMapChar">
    <w:name w:val="Document Map Char"/>
    <w:link w:val="DocumentMap"/>
    <w:rsid w:val="00E27C6D"/>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unhideWhenUsed/>
    <w:rsid w:val="00E27C6D"/>
    <w:pPr>
      <w:widowControl/>
      <w:spacing w:before="0" w:after="0" w:line="240" w:lineRule="auto"/>
    </w:pPr>
    <w:rPr>
      <w:rFonts w:ascii="Calibri" w:hAnsi="Calibri" w:cstheme="minorBidi"/>
      <w:sz w:val="22"/>
      <w:szCs w:val="21"/>
      <w:lang w:val="en-GB"/>
    </w:rPr>
  </w:style>
  <w:style w:type="character" w:customStyle="1" w:styleId="PlainTextChar">
    <w:name w:val="Plain Text Char"/>
    <w:link w:val="PlainText"/>
    <w:uiPriority w:val="99"/>
    <w:rsid w:val="00E27C6D"/>
    <w:rPr>
      <w:rFonts w:ascii="Calibri" w:eastAsia="Calibri" w:hAnsi="Calibri"/>
      <w:szCs w:val="21"/>
      <w:lang w:val="en-GB"/>
    </w:rPr>
  </w:style>
  <w:style w:type="paragraph" w:styleId="NormalWeb">
    <w:name w:val="Normal (Web)"/>
    <w:basedOn w:val="Normal"/>
    <w:uiPriority w:val="99"/>
    <w:rsid w:val="00E27C6D"/>
    <w:pPr>
      <w:widowControl/>
      <w:spacing w:before="0" w:after="0"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rsid w:val="00E27C6D"/>
    <w:pPr>
      <w:widowControl/>
      <w:spacing w:before="0"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link w:val="HTMLAddress"/>
    <w:rsid w:val="00E27C6D"/>
    <w:rPr>
      <w:rFonts w:ascii="Times New Roman" w:eastAsia="Times New Roman" w:hAnsi="Times New Roman" w:cs="Times New Roman"/>
      <w:i/>
      <w:iCs/>
      <w:sz w:val="24"/>
      <w:szCs w:val="24"/>
      <w:lang w:val="en-GB" w:eastAsia="en-GB"/>
    </w:rPr>
  </w:style>
  <w:style w:type="character" w:styleId="HTMLCite">
    <w:name w:val="HTML Cite"/>
    <w:rsid w:val="00E27C6D"/>
    <w:rPr>
      <w:rFonts w:ascii="Verdana" w:hAnsi="Verdana"/>
      <w:i/>
      <w:iCs/>
    </w:rPr>
  </w:style>
  <w:style w:type="paragraph" w:styleId="CommentSubject">
    <w:name w:val="annotation subject"/>
    <w:basedOn w:val="CommentText"/>
    <w:next w:val="CommentText"/>
    <w:link w:val="CommentSubjectChar"/>
    <w:uiPriority w:val="99"/>
    <w:semiHidden/>
    <w:unhideWhenUsed/>
    <w:rsid w:val="00E27C6D"/>
    <w:pPr>
      <w:widowControl w:val="0"/>
      <w:spacing w:after="180" w:line="240" w:lineRule="auto"/>
      <w:jc w:val="left"/>
    </w:pPr>
    <w:rPr>
      <w:b/>
      <w:bCs/>
      <w:lang w:val="en-US"/>
    </w:rPr>
  </w:style>
  <w:style w:type="character" w:customStyle="1" w:styleId="CommentSubjectChar">
    <w:name w:val="Comment Subject Char"/>
    <w:link w:val="CommentSubject"/>
    <w:uiPriority w:val="99"/>
    <w:semiHidden/>
    <w:rsid w:val="00E27C6D"/>
    <w:rPr>
      <w:rFonts w:ascii="Arial" w:eastAsia="Calibri" w:hAnsi="Arial" w:cs="Arial"/>
      <w:b/>
      <w:bCs/>
      <w:sz w:val="20"/>
      <w:szCs w:val="20"/>
    </w:rPr>
  </w:style>
  <w:style w:type="paragraph" w:styleId="BalloonText">
    <w:name w:val="Balloon Text"/>
    <w:basedOn w:val="Normal"/>
    <w:link w:val="BalloonTextChar"/>
    <w:uiPriority w:val="99"/>
    <w:semiHidden/>
    <w:unhideWhenUsed/>
    <w:rsid w:val="00E27C6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C6D"/>
    <w:rPr>
      <w:rFonts w:ascii="Segoe UI" w:eastAsia="Calibri" w:hAnsi="Segoe UI" w:cs="Segoe UI"/>
      <w:sz w:val="18"/>
      <w:szCs w:val="18"/>
    </w:rPr>
  </w:style>
  <w:style w:type="table" w:customStyle="1" w:styleId="PlainTable31">
    <w:name w:val="Plain Table 31"/>
    <w:basedOn w:val="TableNormal"/>
    <w:uiPriority w:val="43"/>
    <w:rsid w:val="00E27C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41">
    <w:name w:val="Grid Table 4 - Accent 41"/>
    <w:basedOn w:val="TableNormal"/>
    <w:uiPriority w:val="49"/>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3-Accent61">
    <w:name w:val="Grid Table 3 - Accent 6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customStyle="1" w:styleId="Disclaimer">
    <w:name w:val="Disclaimer"/>
    <w:basedOn w:val="Normal"/>
    <w:autoRedefine/>
    <w:uiPriority w:val="1"/>
    <w:qFormat/>
    <w:rsid w:val="00E27C6D"/>
    <w:pPr>
      <w:spacing w:after="60"/>
      <w:contextualSpacing/>
      <w:jc w:val="both"/>
    </w:pPr>
    <w:rPr>
      <w:color w:val="7F7F7F"/>
      <w:sz w:val="18"/>
    </w:rPr>
  </w:style>
  <w:style w:type="paragraph" w:customStyle="1" w:styleId="TableHeading">
    <w:name w:val="Table Heading"/>
    <w:basedOn w:val="Normal"/>
    <w:link w:val="TableHeadingChar"/>
    <w:qFormat/>
    <w:rsid w:val="00481F33"/>
    <w:pPr>
      <w:widowControl/>
      <w:jc w:val="both"/>
    </w:pPr>
    <w:rPr>
      <w:rFonts w:eastAsiaTheme="minorHAnsi"/>
      <w:bCs/>
      <w:noProof/>
      <w:color w:val="FFFFFF" w:themeColor="background1"/>
      <w:szCs w:val="22"/>
      <w:lang w:val="en-IE" w:eastAsia="ar-SA"/>
    </w:rPr>
  </w:style>
  <w:style w:type="character" w:customStyle="1" w:styleId="TableHeadingChar">
    <w:name w:val="Table Heading Char"/>
    <w:basedOn w:val="DefaultParagraphFont"/>
    <w:link w:val="TableHeading"/>
    <w:rsid w:val="00481F33"/>
    <w:rPr>
      <w:rFonts w:ascii="Arial" w:hAnsi="Arial" w:cs="Arial"/>
      <w:bCs/>
      <w:noProof/>
      <w:color w:val="FFFFFF" w:themeColor="background1"/>
      <w:sz w:val="20"/>
      <w:lang w:val="en-IE" w:eastAsia="ar-SA"/>
    </w:rPr>
  </w:style>
  <w:style w:type="paragraph" w:customStyle="1" w:styleId="TableBoldnarrow">
    <w:name w:val="Table Bold narrow"/>
    <w:basedOn w:val="Normal"/>
    <w:link w:val="TableBoldnarrowChar"/>
    <w:autoRedefine/>
    <w:uiPriority w:val="1"/>
    <w:rsid w:val="00843881"/>
    <w:pPr>
      <w:widowControl/>
    </w:pPr>
    <w:rPr>
      <w:rFonts w:ascii="Arial Narrow" w:eastAsia="Times New Roman" w:hAnsi="Arial Narrow"/>
      <w:b/>
      <w:szCs w:val="24"/>
      <w:lang w:val="en-GB"/>
    </w:rPr>
  </w:style>
  <w:style w:type="character" w:customStyle="1" w:styleId="TableBoldnarrowChar">
    <w:name w:val="Table Bold narrow Char"/>
    <w:basedOn w:val="DefaultParagraphFont"/>
    <w:link w:val="TableBoldnarrow"/>
    <w:uiPriority w:val="1"/>
    <w:rsid w:val="00843881"/>
    <w:rPr>
      <w:rFonts w:ascii="Arial Narrow" w:eastAsia="Times New Roman" w:hAnsi="Arial Narrow" w:cs="Arial"/>
      <w:b/>
      <w:sz w:val="20"/>
      <w:szCs w:val="24"/>
      <w:lang w:val="en-GB"/>
    </w:rPr>
  </w:style>
  <w:style w:type="paragraph" w:customStyle="1" w:styleId="TableHeaderNarrow">
    <w:name w:val="Table Header Narrow"/>
    <w:basedOn w:val="TableHeading"/>
    <w:link w:val="TableHeaderNarrowChar"/>
    <w:autoRedefine/>
    <w:uiPriority w:val="1"/>
    <w:rsid w:val="00843881"/>
    <w:pPr>
      <w:jc w:val="center"/>
    </w:pPr>
    <w:rPr>
      <w:rFonts w:ascii="Arial Narrow" w:hAnsi="Arial Narrow"/>
    </w:rPr>
  </w:style>
  <w:style w:type="character" w:customStyle="1" w:styleId="TableHeaderNarrowChar">
    <w:name w:val="Table Header Narrow Char"/>
    <w:basedOn w:val="TableHeadingChar"/>
    <w:link w:val="TableHeaderNarrow"/>
    <w:uiPriority w:val="1"/>
    <w:rsid w:val="00843881"/>
    <w:rPr>
      <w:rFonts w:ascii="Arial Narrow" w:hAnsi="Arial Narrow" w:cs="Arial"/>
      <w:b w:val="0"/>
      <w:bCs/>
      <w:noProof/>
      <w:color w:val="FFFFFF" w:themeColor="background1"/>
      <w:sz w:val="20"/>
      <w:lang w:val="en-IE" w:eastAsia="ar-SA"/>
    </w:rPr>
  </w:style>
  <w:style w:type="paragraph" w:customStyle="1" w:styleId="BoldBodyText">
    <w:name w:val="Bold Body Text"/>
    <w:basedOn w:val="Normal"/>
    <w:uiPriority w:val="1"/>
    <w:rsid w:val="00D24DB2"/>
  </w:style>
  <w:style w:type="paragraph" w:customStyle="1" w:styleId="Heading1Numb">
    <w:name w:val="Heading 1Numb"/>
    <w:basedOn w:val="Heading1"/>
    <w:next w:val="Normal"/>
    <w:uiPriority w:val="7"/>
    <w:qFormat/>
    <w:rsid w:val="00481F33"/>
    <w:pPr>
      <w:tabs>
        <w:tab w:val="clear" w:pos="567"/>
        <w:tab w:val="num" w:pos="0"/>
      </w:tabs>
      <w:ind w:hanging="1134"/>
    </w:p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1 Char"/>
    <w:basedOn w:val="DefaultParagraphFont"/>
    <w:link w:val="ListParagraph"/>
    <w:uiPriority w:val="34"/>
    <w:locked/>
    <w:rsid w:val="00D53262"/>
    <w:rPr>
      <w:rFonts w:ascii="Arial" w:eastAsia="Calibri" w:hAnsi="Arial" w:cs="Arial"/>
      <w:sz w:val="24"/>
      <w:szCs w:val="20"/>
    </w:rPr>
  </w:style>
  <w:style w:type="paragraph" w:customStyle="1" w:styleId="Style4">
    <w:name w:val="Style4"/>
    <w:basedOn w:val="Heading1"/>
    <w:link w:val="Style4Char"/>
    <w:uiPriority w:val="1"/>
    <w:rsid w:val="00231AAC"/>
  </w:style>
  <w:style w:type="character" w:customStyle="1" w:styleId="Style4Char">
    <w:name w:val="Style4 Char"/>
    <w:basedOn w:val="Heading1Char1"/>
    <w:link w:val="Style4"/>
    <w:uiPriority w:val="1"/>
    <w:rsid w:val="00231AAC"/>
    <w:rPr>
      <w:rFonts w:ascii="Arial" w:eastAsiaTheme="majorEastAsia" w:hAnsi="Arial" w:cstheme="majorBidi"/>
      <w:bCs/>
      <w:caps/>
      <w:color w:val="3F9C35"/>
      <w:sz w:val="40"/>
      <w:szCs w:val="28"/>
      <w:lang w:val="en-GB"/>
    </w:rPr>
  </w:style>
  <w:style w:type="paragraph" w:customStyle="1" w:styleId="BodyText-parastylebold">
    <w:name w:val="Body Text - para style bold"/>
    <w:basedOn w:val="BodyText-parastyle"/>
    <w:autoRedefine/>
    <w:qFormat/>
    <w:rsid w:val="00423075"/>
    <w:pPr>
      <w:keepNext/>
      <w:jc w:val="both"/>
    </w:pPr>
    <w:rPr>
      <w:rFonts w:cs="Times New Roman"/>
      <w:b/>
      <w:szCs w:val="24"/>
    </w:rPr>
  </w:style>
  <w:style w:type="character" w:customStyle="1" w:styleId="Mention1">
    <w:name w:val="Mention1"/>
    <w:basedOn w:val="DefaultParagraphFont"/>
    <w:uiPriority w:val="99"/>
    <w:semiHidden/>
    <w:unhideWhenUsed/>
    <w:rsid w:val="002D2BBC"/>
    <w:rPr>
      <w:color w:val="2B579A"/>
      <w:shd w:val="clear" w:color="auto" w:fill="E6E6E6"/>
    </w:rPr>
  </w:style>
  <w:style w:type="paragraph" w:customStyle="1" w:styleId="Default">
    <w:name w:val="Default"/>
    <w:rsid w:val="00CC1A9F"/>
    <w:pPr>
      <w:widowControl/>
      <w:autoSpaceDE w:val="0"/>
      <w:autoSpaceDN w:val="0"/>
      <w:adjustRightInd w:val="0"/>
    </w:pPr>
    <w:rPr>
      <w:rFonts w:ascii="Calibri" w:hAnsi="Calibri" w:cs="Calibri"/>
      <w:color w:val="000000"/>
      <w:sz w:val="24"/>
      <w:szCs w:val="24"/>
      <w:lang w:val="en-GB"/>
    </w:rPr>
  </w:style>
  <w:style w:type="table" w:customStyle="1" w:styleId="PlainTable51">
    <w:name w:val="Plain Table 51"/>
    <w:basedOn w:val="TableNormal"/>
    <w:uiPriority w:val="45"/>
    <w:rsid w:val="00CC1A9F"/>
    <w:pPr>
      <w:widowControl/>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CC1A9F"/>
    <w:pPr>
      <w:widowControl/>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fasTableGrid1">
    <w:name w:val="Forfas Table Grid1"/>
    <w:basedOn w:val="TableNormal"/>
    <w:next w:val="TableGrid"/>
    <w:uiPriority w:val="39"/>
    <w:rsid w:val="00901782"/>
    <w:pPr>
      <w:widowControl/>
    </w:pPr>
    <w:rPr>
      <w:rFonts w:ascii="Arial" w:eastAsia="Calibri" w:hAnsi="Arial" w:cs="Times New Roman"/>
      <w:sz w:val="20"/>
      <w:szCs w:val="20"/>
      <w:lang w:val="en-GB" w:eastAsia="en-GB"/>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shd w:val="clear" w:color="auto" w:fill="009CDE"/>
      </w:tcPr>
    </w:tblStylePr>
    <w:tblStylePr w:type="la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3666A"/>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BodyText-italics">
    <w:name w:val="Body Text - italics"/>
    <w:basedOn w:val="Normal"/>
    <w:autoRedefine/>
    <w:qFormat/>
    <w:rsid w:val="00423075"/>
    <w:pPr>
      <w:widowControl/>
      <w:jc w:val="both"/>
    </w:pPr>
    <w:rPr>
      <w:rFonts w:eastAsia="Times New Roman"/>
      <w:sz w:val="24"/>
      <w:szCs w:val="24"/>
      <w:lang w:val="en-IE"/>
    </w:rPr>
  </w:style>
  <w:style w:type="paragraph" w:styleId="Revision">
    <w:name w:val="Revision"/>
    <w:hidden/>
    <w:uiPriority w:val="99"/>
    <w:semiHidden/>
    <w:rsid w:val="002E5326"/>
    <w:pPr>
      <w:widowControl/>
    </w:pPr>
    <w:rPr>
      <w:rFonts w:ascii="Arial" w:eastAsia="Calibri" w:hAnsi="Arial" w:cs="Arial"/>
      <w:sz w:val="20"/>
      <w:szCs w:val="20"/>
    </w:rPr>
  </w:style>
  <w:style w:type="character" w:customStyle="1" w:styleId="FootnoteTextChar2">
    <w:name w:val="Footnote Text Char2"/>
    <w:aliases w:val="Footnote Char1,FOOTNOTES Char1,Footnote Text Char1 Char1,Footnote Text Char Char Char1,Footnote Text Char1 Char Char Char Char1,Footnote Text Char Char Char Char Char Char1,Footnote Text1 Char Char Char Char1,fn Char1,o Char1"/>
    <w:uiPriority w:val="99"/>
    <w:locked/>
    <w:rsid w:val="0051334C"/>
    <w:rPr>
      <w:rFonts w:ascii="Arial" w:eastAsia="Times New Roman" w:hAnsi="Arial"/>
      <w:sz w:val="20"/>
    </w:rPr>
  </w:style>
  <w:style w:type="paragraph" w:customStyle="1" w:styleId="QuestionHeader2">
    <w:name w:val="Question Header 2"/>
    <w:basedOn w:val="Normal"/>
    <w:uiPriority w:val="99"/>
    <w:rsid w:val="00BC0114"/>
    <w:pPr>
      <w:widowControl/>
      <w:tabs>
        <w:tab w:val="num" w:pos="792"/>
      </w:tabs>
      <w:spacing w:before="0" w:after="0" w:line="240" w:lineRule="auto"/>
      <w:ind w:left="792" w:hanging="432"/>
    </w:pPr>
    <w:rPr>
      <w:rFonts w:ascii="Times New Roman" w:eastAsia="Times New Roman" w:hAnsi="Times New Roman" w:cs="Times New Roman"/>
      <w:sz w:val="24"/>
      <w:szCs w:val="24"/>
      <w:lang w:val="en-GB"/>
    </w:rPr>
  </w:style>
  <w:style w:type="paragraph" w:customStyle="1" w:styleId="bodytext-parastyle0">
    <w:name w:val="bodytext-parastyle"/>
    <w:basedOn w:val="Normal"/>
    <w:uiPriority w:val="99"/>
    <w:rsid w:val="00CC7DAD"/>
    <w:pPr>
      <w:widowControl/>
      <w:jc w:val="both"/>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4779">
      <w:bodyDiv w:val="1"/>
      <w:marLeft w:val="0"/>
      <w:marRight w:val="0"/>
      <w:marTop w:val="0"/>
      <w:marBottom w:val="0"/>
      <w:divBdr>
        <w:top w:val="none" w:sz="0" w:space="0" w:color="auto"/>
        <w:left w:val="none" w:sz="0" w:space="0" w:color="auto"/>
        <w:bottom w:val="none" w:sz="0" w:space="0" w:color="auto"/>
        <w:right w:val="none" w:sz="0" w:space="0" w:color="auto"/>
      </w:divBdr>
    </w:div>
    <w:div w:id="109397230">
      <w:bodyDiv w:val="1"/>
      <w:marLeft w:val="0"/>
      <w:marRight w:val="0"/>
      <w:marTop w:val="0"/>
      <w:marBottom w:val="0"/>
      <w:divBdr>
        <w:top w:val="none" w:sz="0" w:space="0" w:color="auto"/>
        <w:left w:val="none" w:sz="0" w:space="0" w:color="auto"/>
        <w:bottom w:val="none" w:sz="0" w:space="0" w:color="auto"/>
        <w:right w:val="none" w:sz="0" w:space="0" w:color="auto"/>
      </w:divBdr>
    </w:div>
    <w:div w:id="213781669">
      <w:bodyDiv w:val="1"/>
      <w:marLeft w:val="0"/>
      <w:marRight w:val="0"/>
      <w:marTop w:val="0"/>
      <w:marBottom w:val="0"/>
      <w:divBdr>
        <w:top w:val="none" w:sz="0" w:space="0" w:color="auto"/>
        <w:left w:val="none" w:sz="0" w:space="0" w:color="auto"/>
        <w:bottom w:val="none" w:sz="0" w:space="0" w:color="auto"/>
        <w:right w:val="none" w:sz="0" w:space="0" w:color="auto"/>
      </w:divBdr>
    </w:div>
    <w:div w:id="305939584">
      <w:bodyDiv w:val="1"/>
      <w:marLeft w:val="0"/>
      <w:marRight w:val="0"/>
      <w:marTop w:val="0"/>
      <w:marBottom w:val="0"/>
      <w:divBdr>
        <w:top w:val="none" w:sz="0" w:space="0" w:color="auto"/>
        <w:left w:val="none" w:sz="0" w:space="0" w:color="auto"/>
        <w:bottom w:val="none" w:sz="0" w:space="0" w:color="auto"/>
        <w:right w:val="none" w:sz="0" w:space="0" w:color="auto"/>
      </w:divBdr>
    </w:div>
    <w:div w:id="339046201">
      <w:bodyDiv w:val="1"/>
      <w:marLeft w:val="0"/>
      <w:marRight w:val="0"/>
      <w:marTop w:val="0"/>
      <w:marBottom w:val="0"/>
      <w:divBdr>
        <w:top w:val="none" w:sz="0" w:space="0" w:color="auto"/>
        <w:left w:val="none" w:sz="0" w:space="0" w:color="auto"/>
        <w:bottom w:val="none" w:sz="0" w:space="0" w:color="auto"/>
        <w:right w:val="none" w:sz="0" w:space="0" w:color="auto"/>
      </w:divBdr>
      <w:divsChild>
        <w:div w:id="873661961">
          <w:marLeft w:val="0"/>
          <w:marRight w:val="0"/>
          <w:marTop w:val="0"/>
          <w:marBottom w:val="0"/>
          <w:divBdr>
            <w:top w:val="none" w:sz="0" w:space="0" w:color="auto"/>
            <w:left w:val="none" w:sz="0" w:space="0" w:color="auto"/>
            <w:bottom w:val="none" w:sz="0" w:space="0" w:color="auto"/>
            <w:right w:val="none" w:sz="0" w:space="0" w:color="auto"/>
          </w:divBdr>
          <w:divsChild>
            <w:div w:id="1380207436">
              <w:marLeft w:val="0"/>
              <w:marRight w:val="0"/>
              <w:marTop w:val="0"/>
              <w:marBottom w:val="0"/>
              <w:divBdr>
                <w:top w:val="none" w:sz="0" w:space="0" w:color="auto"/>
                <w:left w:val="none" w:sz="0" w:space="0" w:color="auto"/>
                <w:bottom w:val="none" w:sz="0" w:space="0" w:color="auto"/>
                <w:right w:val="none" w:sz="0" w:space="0" w:color="auto"/>
              </w:divBdr>
              <w:divsChild>
                <w:div w:id="18825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6956">
      <w:bodyDiv w:val="1"/>
      <w:marLeft w:val="0"/>
      <w:marRight w:val="0"/>
      <w:marTop w:val="0"/>
      <w:marBottom w:val="0"/>
      <w:divBdr>
        <w:top w:val="none" w:sz="0" w:space="0" w:color="auto"/>
        <w:left w:val="none" w:sz="0" w:space="0" w:color="auto"/>
        <w:bottom w:val="none" w:sz="0" w:space="0" w:color="auto"/>
        <w:right w:val="none" w:sz="0" w:space="0" w:color="auto"/>
      </w:divBdr>
    </w:div>
    <w:div w:id="431709951">
      <w:bodyDiv w:val="1"/>
      <w:marLeft w:val="0"/>
      <w:marRight w:val="0"/>
      <w:marTop w:val="0"/>
      <w:marBottom w:val="0"/>
      <w:divBdr>
        <w:top w:val="none" w:sz="0" w:space="0" w:color="auto"/>
        <w:left w:val="none" w:sz="0" w:space="0" w:color="auto"/>
        <w:bottom w:val="none" w:sz="0" w:space="0" w:color="auto"/>
        <w:right w:val="none" w:sz="0" w:space="0" w:color="auto"/>
      </w:divBdr>
    </w:div>
    <w:div w:id="472332882">
      <w:bodyDiv w:val="1"/>
      <w:marLeft w:val="0"/>
      <w:marRight w:val="0"/>
      <w:marTop w:val="0"/>
      <w:marBottom w:val="0"/>
      <w:divBdr>
        <w:top w:val="none" w:sz="0" w:space="0" w:color="auto"/>
        <w:left w:val="none" w:sz="0" w:space="0" w:color="auto"/>
        <w:bottom w:val="none" w:sz="0" w:space="0" w:color="auto"/>
        <w:right w:val="none" w:sz="0" w:space="0" w:color="auto"/>
      </w:divBdr>
    </w:div>
    <w:div w:id="556941983">
      <w:bodyDiv w:val="1"/>
      <w:marLeft w:val="0"/>
      <w:marRight w:val="0"/>
      <w:marTop w:val="0"/>
      <w:marBottom w:val="0"/>
      <w:divBdr>
        <w:top w:val="none" w:sz="0" w:space="0" w:color="auto"/>
        <w:left w:val="none" w:sz="0" w:space="0" w:color="auto"/>
        <w:bottom w:val="none" w:sz="0" w:space="0" w:color="auto"/>
        <w:right w:val="none" w:sz="0" w:space="0" w:color="auto"/>
      </w:divBdr>
    </w:div>
    <w:div w:id="748622423">
      <w:bodyDiv w:val="1"/>
      <w:marLeft w:val="0"/>
      <w:marRight w:val="0"/>
      <w:marTop w:val="0"/>
      <w:marBottom w:val="0"/>
      <w:divBdr>
        <w:top w:val="none" w:sz="0" w:space="0" w:color="auto"/>
        <w:left w:val="none" w:sz="0" w:space="0" w:color="auto"/>
        <w:bottom w:val="none" w:sz="0" w:space="0" w:color="auto"/>
        <w:right w:val="none" w:sz="0" w:space="0" w:color="auto"/>
      </w:divBdr>
    </w:div>
    <w:div w:id="1223325341">
      <w:bodyDiv w:val="1"/>
      <w:marLeft w:val="0"/>
      <w:marRight w:val="0"/>
      <w:marTop w:val="0"/>
      <w:marBottom w:val="0"/>
      <w:divBdr>
        <w:top w:val="none" w:sz="0" w:space="0" w:color="auto"/>
        <w:left w:val="none" w:sz="0" w:space="0" w:color="auto"/>
        <w:bottom w:val="none" w:sz="0" w:space="0" w:color="auto"/>
        <w:right w:val="none" w:sz="0" w:space="0" w:color="auto"/>
      </w:divBdr>
    </w:div>
    <w:div w:id="1358001129">
      <w:bodyDiv w:val="1"/>
      <w:marLeft w:val="0"/>
      <w:marRight w:val="0"/>
      <w:marTop w:val="0"/>
      <w:marBottom w:val="0"/>
      <w:divBdr>
        <w:top w:val="none" w:sz="0" w:space="0" w:color="auto"/>
        <w:left w:val="none" w:sz="0" w:space="0" w:color="auto"/>
        <w:bottom w:val="none" w:sz="0" w:space="0" w:color="auto"/>
        <w:right w:val="none" w:sz="0" w:space="0" w:color="auto"/>
      </w:divBdr>
    </w:div>
    <w:div w:id="1409573806">
      <w:bodyDiv w:val="1"/>
      <w:marLeft w:val="0"/>
      <w:marRight w:val="0"/>
      <w:marTop w:val="0"/>
      <w:marBottom w:val="0"/>
      <w:divBdr>
        <w:top w:val="none" w:sz="0" w:space="0" w:color="auto"/>
        <w:left w:val="none" w:sz="0" w:space="0" w:color="auto"/>
        <w:bottom w:val="none" w:sz="0" w:space="0" w:color="auto"/>
        <w:right w:val="none" w:sz="0" w:space="0" w:color="auto"/>
      </w:divBdr>
      <w:divsChild>
        <w:div w:id="659774293">
          <w:marLeft w:val="547"/>
          <w:marRight w:val="0"/>
          <w:marTop w:val="77"/>
          <w:marBottom w:val="0"/>
          <w:divBdr>
            <w:top w:val="none" w:sz="0" w:space="0" w:color="auto"/>
            <w:left w:val="none" w:sz="0" w:space="0" w:color="auto"/>
            <w:bottom w:val="none" w:sz="0" w:space="0" w:color="auto"/>
            <w:right w:val="none" w:sz="0" w:space="0" w:color="auto"/>
          </w:divBdr>
        </w:div>
        <w:div w:id="2001347685">
          <w:marLeft w:val="547"/>
          <w:marRight w:val="0"/>
          <w:marTop w:val="77"/>
          <w:marBottom w:val="0"/>
          <w:divBdr>
            <w:top w:val="none" w:sz="0" w:space="0" w:color="auto"/>
            <w:left w:val="none" w:sz="0" w:space="0" w:color="auto"/>
            <w:bottom w:val="none" w:sz="0" w:space="0" w:color="auto"/>
            <w:right w:val="none" w:sz="0" w:space="0" w:color="auto"/>
          </w:divBdr>
        </w:div>
        <w:div w:id="521282577">
          <w:marLeft w:val="547"/>
          <w:marRight w:val="0"/>
          <w:marTop w:val="77"/>
          <w:marBottom w:val="0"/>
          <w:divBdr>
            <w:top w:val="none" w:sz="0" w:space="0" w:color="auto"/>
            <w:left w:val="none" w:sz="0" w:space="0" w:color="auto"/>
            <w:bottom w:val="none" w:sz="0" w:space="0" w:color="auto"/>
            <w:right w:val="none" w:sz="0" w:space="0" w:color="auto"/>
          </w:divBdr>
        </w:div>
        <w:div w:id="1682970250">
          <w:marLeft w:val="547"/>
          <w:marRight w:val="0"/>
          <w:marTop w:val="77"/>
          <w:marBottom w:val="0"/>
          <w:divBdr>
            <w:top w:val="none" w:sz="0" w:space="0" w:color="auto"/>
            <w:left w:val="none" w:sz="0" w:space="0" w:color="auto"/>
            <w:bottom w:val="none" w:sz="0" w:space="0" w:color="auto"/>
            <w:right w:val="none" w:sz="0" w:space="0" w:color="auto"/>
          </w:divBdr>
        </w:div>
        <w:div w:id="1556117151">
          <w:marLeft w:val="547"/>
          <w:marRight w:val="0"/>
          <w:marTop w:val="77"/>
          <w:marBottom w:val="0"/>
          <w:divBdr>
            <w:top w:val="none" w:sz="0" w:space="0" w:color="auto"/>
            <w:left w:val="none" w:sz="0" w:space="0" w:color="auto"/>
            <w:bottom w:val="none" w:sz="0" w:space="0" w:color="auto"/>
            <w:right w:val="none" w:sz="0" w:space="0" w:color="auto"/>
          </w:divBdr>
        </w:div>
        <w:div w:id="912854400">
          <w:marLeft w:val="547"/>
          <w:marRight w:val="0"/>
          <w:marTop w:val="77"/>
          <w:marBottom w:val="0"/>
          <w:divBdr>
            <w:top w:val="none" w:sz="0" w:space="0" w:color="auto"/>
            <w:left w:val="none" w:sz="0" w:space="0" w:color="auto"/>
            <w:bottom w:val="none" w:sz="0" w:space="0" w:color="auto"/>
            <w:right w:val="none" w:sz="0" w:space="0" w:color="auto"/>
          </w:divBdr>
        </w:div>
        <w:div w:id="665323339">
          <w:marLeft w:val="547"/>
          <w:marRight w:val="0"/>
          <w:marTop w:val="77"/>
          <w:marBottom w:val="0"/>
          <w:divBdr>
            <w:top w:val="none" w:sz="0" w:space="0" w:color="auto"/>
            <w:left w:val="none" w:sz="0" w:space="0" w:color="auto"/>
            <w:bottom w:val="none" w:sz="0" w:space="0" w:color="auto"/>
            <w:right w:val="none" w:sz="0" w:space="0" w:color="auto"/>
          </w:divBdr>
        </w:div>
      </w:divsChild>
    </w:div>
    <w:div w:id="1567915014">
      <w:bodyDiv w:val="1"/>
      <w:marLeft w:val="0"/>
      <w:marRight w:val="0"/>
      <w:marTop w:val="0"/>
      <w:marBottom w:val="0"/>
      <w:divBdr>
        <w:top w:val="none" w:sz="0" w:space="0" w:color="auto"/>
        <w:left w:val="none" w:sz="0" w:space="0" w:color="auto"/>
        <w:bottom w:val="none" w:sz="0" w:space="0" w:color="auto"/>
        <w:right w:val="none" w:sz="0" w:space="0" w:color="auto"/>
      </w:divBdr>
    </w:div>
    <w:div w:id="1620644452">
      <w:bodyDiv w:val="1"/>
      <w:marLeft w:val="0"/>
      <w:marRight w:val="0"/>
      <w:marTop w:val="0"/>
      <w:marBottom w:val="0"/>
      <w:divBdr>
        <w:top w:val="none" w:sz="0" w:space="0" w:color="auto"/>
        <w:left w:val="none" w:sz="0" w:space="0" w:color="auto"/>
        <w:bottom w:val="none" w:sz="0" w:space="0" w:color="auto"/>
        <w:right w:val="none" w:sz="0" w:space="0" w:color="auto"/>
      </w:divBdr>
    </w:div>
    <w:div w:id="1625580470">
      <w:bodyDiv w:val="1"/>
      <w:marLeft w:val="0"/>
      <w:marRight w:val="0"/>
      <w:marTop w:val="0"/>
      <w:marBottom w:val="0"/>
      <w:divBdr>
        <w:top w:val="none" w:sz="0" w:space="0" w:color="auto"/>
        <w:left w:val="none" w:sz="0" w:space="0" w:color="auto"/>
        <w:bottom w:val="none" w:sz="0" w:space="0" w:color="auto"/>
        <w:right w:val="none" w:sz="0" w:space="0" w:color="auto"/>
      </w:divBdr>
    </w:div>
    <w:div w:id="1658146840">
      <w:bodyDiv w:val="1"/>
      <w:marLeft w:val="0"/>
      <w:marRight w:val="0"/>
      <w:marTop w:val="0"/>
      <w:marBottom w:val="0"/>
      <w:divBdr>
        <w:top w:val="none" w:sz="0" w:space="0" w:color="auto"/>
        <w:left w:val="none" w:sz="0" w:space="0" w:color="auto"/>
        <w:bottom w:val="none" w:sz="0" w:space="0" w:color="auto"/>
        <w:right w:val="none" w:sz="0" w:space="0" w:color="auto"/>
      </w:divBdr>
    </w:div>
    <w:div w:id="1764690867">
      <w:bodyDiv w:val="1"/>
      <w:marLeft w:val="0"/>
      <w:marRight w:val="0"/>
      <w:marTop w:val="0"/>
      <w:marBottom w:val="0"/>
      <w:divBdr>
        <w:top w:val="none" w:sz="0" w:space="0" w:color="auto"/>
        <w:left w:val="none" w:sz="0" w:space="0" w:color="auto"/>
        <w:bottom w:val="none" w:sz="0" w:space="0" w:color="auto"/>
        <w:right w:val="none" w:sz="0" w:space="0" w:color="auto"/>
      </w:divBdr>
      <w:divsChild>
        <w:div w:id="1822307988">
          <w:marLeft w:val="-300"/>
          <w:marRight w:val="0"/>
          <w:marTop w:val="0"/>
          <w:marBottom w:val="0"/>
          <w:divBdr>
            <w:top w:val="none" w:sz="0" w:space="0" w:color="auto"/>
            <w:left w:val="none" w:sz="0" w:space="0" w:color="auto"/>
            <w:bottom w:val="none" w:sz="0" w:space="0" w:color="auto"/>
            <w:right w:val="none" w:sz="0" w:space="0" w:color="auto"/>
          </w:divBdr>
          <w:divsChild>
            <w:div w:id="807088995">
              <w:marLeft w:val="0"/>
              <w:marRight w:val="0"/>
              <w:marTop w:val="0"/>
              <w:marBottom w:val="0"/>
              <w:divBdr>
                <w:top w:val="none" w:sz="0" w:space="0" w:color="auto"/>
                <w:left w:val="none" w:sz="0" w:space="0" w:color="auto"/>
                <w:bottom w:val="none" w:sz="0" w:space="0" w:color="auto"/>
                <w:right w:val="none" w:sz="0" w:space="0" w:color="auto"/>
              </w:divBdr>
              <w:divsChild>
                <w:div w:id="2022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8258">
      <w:bodyDiv w:val="1"/>
      <w:marLeft w:val="0"/>
      <w:marRight w:val="0"/>
      <w:marTop w:val="0"/>
      <w:marBottom w:val="0"/>
      <w:divBdr>
        <w:top w:val="none" w:sz="0" w:space="0" w:color="auto"/>
        <w:left w:val="none" w:sz="0" w:space="0" w:color="auto"/>
        <w:bottom w:val="none" w:sz="0" w:space="0" w:color="auto"/>
        <w:right w:val="none" w:sz="0" w:space="0" w:color="auto"/>
      </w:divBdr>
    </w:div>
    <w:div w:id="192715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s.gov.uk/peoplepopulationandcommunity/wellbeing/bulletins/measuringnationalwellbeing/jantodec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16/12/information-sharing-policy-v2-1.pdf" TargetMode="External"/><Relationship Id="rId2" Type="http://schemas.openxmlformats.org/officeDocument/2006/relationships/hyperlink" Target="http://www.neweconomymanchester.com/our-work/research-evaluation-cost-benefit-analysis/cost-benefit-analysis/unit-cost-database" TargetMode="External"/><Relationship Id="rId1" Type="http://schemas.openxmlformats.org/officeDocument/2006/relationships/hyperlink" Target="https://www.england.nhs.uk/wp-content/uploads/2016/12/information-sharing-policy-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8B05-AC62-4ABA-A229-E569096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36301</Words>
  <Characters>206922</Characters>
  <Application>Microsoft Office Word</Application>
  <DocSecurity>4</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PACEC LTD</Company>
  <LinksUpToDate>false</LinksUpToDate>
  <CharactersWithSpaces>242738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Hale</dc:creator>
  <cp:lastModifiedBy>Clare.McLean</cp:lastModifiedBy>
  <cp:revision>2</cp:revision>
  <cp:lastPrinted>2017-09-14T08:13:00Z</cp:lastPrinted>
  <dcterms:created xsi:type="dcterms:W3CDTF">2017-11-23T09:08:00Z</dcterms:created>
  <dcterms:modified xsi:type="dcterms:W3CDTF">2017-11-23T09:08:00Z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y fmtid="{D5CDD505-2E9C-101B-9397-08002B2CF9AE}" pid="4" name="PSLTemplateName">
    <vt:lpwstr>Normal</vt:lpwstr>
  </property>
</Properties>
</file>